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4496E" w14:textId="7EF44C70" w:rsidR="000C544F" w:rsidRPr="00C92C15" w:rsidRDefault="000C544F" w:rsidP="002168AB">
      <w:pPr>
        <w:spacing w:before="100" w:beforeAutospacing="1" w:after="100" w:afterAutospacing="1"/>
        <w:rPr>
          <w:rFonts w:ascii="Arial" w:hAnsi="Arial" w:cs="Arial"/>
          <w:sz w:val="28"/>
          <w:szCs w:val="28"/>
        </w:rPr>
      </w:pPr>
      <w:r w:rsidRPr="00C92C15">
        <w:rPr>
          <w:rFonts w:ascii="Arial" w:hAnsi="Arial" w:cs="Arial"/>
          <w:sz w:val="28"/>
          <w:szCs w:val="28"/>
        </w:rPr>
        <w:t>Commercial Client ~</w:t>
      </w:r>
      <w:r w:rsidR="00B60F1D">
        <w:rPr>
          <w:rFonts w:ascii="Arial" w:hAnsi="Arial" w:cs="Arial"/>
          <w:sz w:val="28"/>
          <w:szCs w:val="28"/>
        </w:rPr>
        <w:t xml:space="preserve"> </w:t>
      </w:r>
      <w:r w:rsidR="00035AA2">
        <w:rPr>
          <w:rFonts w:ascii="Arial" w:hAnsi="Arial" w:cs="Arial"/>
          <w:sz w:val="28"/>
          <w:szCs w:val="28"/>
        </w:rPr>
        <w:t>August</w:t>
      </w:r>
      <w:r w:rsidR="00E2542C">
        <w:rPr>
          <w:rFonts w:ascii="Arial" w:hAnsi="Arial" w:cs="Arial"/>
          <w:sz w:val="28"/>
          <w:szCs w:val="28"/>
        </w:rPr>
        <w:t xml:space="preserve"> </w:t>
      </w:r>
      <w:r w:rsidRPr="00C92C15">
        <w:rPr>
          <w:rFonts w:ascii="Arial" w:hAnsi="Arial" w:cs="Arial"/>
          <w:sz w:val="28"/>
          <w:szCs w:val="28"/>
        </w:rPr>
        <w:t>20</w:t>
      </w:r>
      <w:r w:rsidR="00D029E5">
        <w:rPr>
          <w:rFonts w:ascii="Arial" w:hAnsi="Arial" w:cs="Arial"/>
          <w:sz w:val="28"/>
          <w:szCs w:val="28"/>
        </w:rPr>
        <w:t>2</w:t>
      </w:r>
      <w:r w:rsidR="00371F39">
        <w:rPr>
          <w:rFonts w:ascii="Arial" w:hAnsi="Arial" w:cs="Arial"/>
          <w:sz w:val="28"/>
          <w:szCs w:val="28"/>
        </w:rPr>
        <w:t>1</w:t>
      </w:r>
    </w:p>
    <w:p w14:paraId="63CA08D1" w14:textId="051BD59A" w:rsidR="000C544F" w:rsidRDefault="000C544F" w:rsidP="002168AB">
      <w:pPr>
        <w:spacing w:before="100" w:beforeAutospacing="1" w:after="100" w:afterAutospacing="1"/>
        <w:rPr>
          <w:rFonts w:ascii="Arial" w:eastAsia="Arial" w:hAnsi="Arial" w:cs="Arial"/>
          <w:b/>
          <w:lang w:eastAsia="en-GB"/>
        </w:rPr>
      </w:pPr>
      <w:r w:rsidRPr="00C92C15">
        <w:rPr>
          <w:rFonts w:ascii="Arial" w:eastAsia="Arial" w:hAnsi="Arial" w:cs="Arial"/>
          <w:b/>
          <w:lang w:eastAsia="en-GB"/>
        </w:rPr>
        <w:t xml:space="preserve">Commercial Client Titles ~ </w:t>
      </w:r>
      <w:r w:rsidR="00035AA2">
        <w:rPr>
          <w:rFonts w:ascii="Arial" w:eastAsia="Arial" w:hAnsi="Arial" w:cs="Arial"/>
          <w:b/>
          <w:lang w:eastAsia="en-GB"/>
        </w:rPr>
        <w:t>August</w:t>
      </w:r>
      <w:r w:rsidR="00E95870">
        <w:rPr>
          <w:rFonts w:ascii="Arial" w:eastAsia="Arial" w:hAnsi="Arial" w:cs="Arial"/>
          <w:b/>
          <w:lang w:eastAsia="en-GB"/>
        </w:rPr>
        <w:t xml:space="preserve"> </w:t>
      </w:r>
      <w:r w:rsidRPr="00C92C15">
        <w:rPr>
          <w:rFonts w:ascii="Arial" w:eastAsia="Arial" w:hAnsi="Arial" w:cs="Arial"/>
          <w:b/>
          <w:lang w:eastAsia="en-GB"/>
        </w:rPr>
        <w:t>20</w:t>
      </w:r>
      <w:r w:rsidR="00D029E5">
        <w:rPr>
          <w:rFonts w:ascii="Arial" w:eastAsia="Arial" w:hAnsi="Arial" w:cs="Arial"/>
          <w:b/>
          <w:lang w:eastAsia="en-GB"/>
        </w:rPr>
        <w:t>2</w:t>
      </w:r>
      <w:r w:rsidR="00371F39">
        <w:rPr>
          <w:rFonts w:ascii="Arial" w:eastAsia="Arial" w:hAnsi="Arial" w:cs="Arial"/>
          <w:b/>
          <w:lang w:eastAsia="en-GB"/>
        </w:rPr>
        <w:t>1</w:t>
      </w:r>
    </w:p>
    <w:p w14:paraId="05170CBD" w14:textId="4D29644A" w:rsidR="000C544F" w:rsidRDefault="000C544F" w:rsidP="00811703">
      <w:pPr>
        <w:rPr>
          <w:rFonts w:ascii="Arial" w:eastAsia="Arial" w:hAnsi="Arial" w:cs="Arial"/>
          <w:b/>
          <w:lang w:eastAsia="en-GB"/>
        </w:rPr>
      </w:pPr>
      <w:r w:rsidRPr="00C92C15">
        <w:rPr>
          <w:rFonts w:ascii="Arial" w:eastAsia="Arial" w:hAnsi="Arial" w:cs="Arial"/>
          <w:b/>
          <w:lang w:eastAsia="en-GB"/>
        </w:rPr>
        <w:t>General</w:t>
      </w:r>
    </w:p>
    <w:p w14:paraId="7DCAABEE" w14:textId="04C539FF" w:rsidR="00427426" w:rsidRPr="00EF4943" w:rsidRDefault="00892D85" w:rsidP="00811703">
      <w:pPr>
        <w:rPr>
          <w:rFonts w:ascii="Arial" w:eastAsia="Times New Roman" w:hAnsi="Arial" w:cs="Arial"/>
          <w:bCs/>
          <w:lang w:eastAsia="en-GB"/>
        </w:rPr>
      </w:pPr>
      <w:r w:rsidRPr="00892D85">
        <w:rPr>
          <w:rFonts w:ascii="Arial" w:eastAsia="Times New Roman" w:hAnsi="Arial" w:cs="Arial"/>
          <w:bCs/>
          <w:lang w:eastAsia="en-GB"/>
        </w:rPr>
        <w:t>COVID-19 – Procurement Dispute Focuses on Award of Face Masks Contract</w:t>
      </w:r>
    </w:p>
    <w:p w14:paraId="51A04C1D" w14:textId="77777777" w:rsidR="00892D85" w:rsidRPr="004E79E3" w:rsidRDefault="00892D85" w:rsidP="00811703">
      <w:pPr>
        <w:rPr>
          <w:rFonts w:ascii="Arial" w:eastAsia="Times New Roman" w:hAnsi="Arial" w:cs="Arial"/>
          <w:bCs/>
          <w:lang w:eastAsia="en-GB"/>
        </w:rPr>
      </w:pPr>
    </w:p>
    <w:p w14:paraId="3F1F33D5" w14:textId="3AE84447" w:rsidR="00624F99" w:rsidRDefault="00624F99" w:rsidP="00811703">
      <w:pPr>
        <w:rPr>
          <w:rFonts w:ascii="Arial" w:eastAsia="Times New Roman" w:hAnsi="Arial" w:cs="Arial"/>
          <w:b/>
          <w:bCs/>
          <w:lang w:eastAsia="en-GB"/>
        </w:rPr>
      </w:pPr>
      <w:r>
        <w:rPr>
          <w:rFonts w:ascii="Arial" w:eastAsia="Times New Roman" w:hAnsi="Arial" w:cs="Arial"/>
          <w:b/>
          <w:bCs/>
          <w:lang w:eastAsia="en-GB"/>
        </w:rPr>
        <w:t>Property</w:t>
      </w:r>
    </w:p>
    <w:p w14:paraId="7B903A0F" w14:textId="31A5279B" w:rsidR="00A41958" w:rsidRPr="00A41958" w:rsidRDefault="00A41958" w:rsidP="00811703">
      <w:pPr>
        <w:rPr>
          <w:rFonts w:ascii="Arial" w:eastAsia="Times New Roman" w:hAnsi="Arial" w:cs="Arial"/>
          <w:lang w:eastAsia="en-GB"/>
        </w:rPr>
      </w:pPr>
      <w:r w:rsidRPr="00A41958">
        <w:rPr>
          <w:rFonts w:ascii="Arial" w:eastAsia="Times New Roman" w:hAnsi="Arial" w:cs="Arial"/>
          <w:lang w:eastAsia="en-GB"/>
        </w:rPr>
        <w:t xml:space="preserve">Break Clauses in Commercial Leases – What Does </w:t>
      </w:r>
      <w:r w:rsidR="00707F1F">
        <w:rPr>
          <w:rFonts w:ascii="Arial" w:eastAsia="Times New Roman" w:hAnsi="Arial" w:cs="Arial"/>
          <w:lang w:eastAsia="en-GB"/>
        </w:rPr>
        <w:t>'</w:t>
      </w:r>
      <w:r w:rsidRPr="00A41958">
        <w:rPr>
          <w:rFonts w:ascii="Arial" w:eastAsia="Times New Roman" w:hAnsi="Arial" w:cs="Arial"/>
          <w:lang w:eastAsia="en-GB"/>
        </w:rPr>
        <w:t>Vacant Possession</w:t>
      </w:r>
      <w:r w:rsidR="00707F1F">
        <w:rPr>
          <w:rFonts w:ascii="Arial" w:eastAsia="Times New Roman" w:hAnsi="Arial" w:cs="Arial"/>
          <w:lang w:eastAsia="en-GB"/>
        </w:rPr>
        <w:t>'</w:t>
      </w:r>
      <w:r w:rsidRPr="00A41958">
        <w:rPr>
          <w:rFonts w:ascii="Arial" w:eastAsia="Times New Roman" w:hAnsi="Arial" w:cs="Arial"/>
          <w:lang w:eastAsia="en-GB"/>
        </w:rPr>
        <w:t xml:space="preserve"> Mean?</w:t>
      </w:r>
    </w:p>
    <w:p w14:paraId="6F9A3343" w14:textId="74BE4FCA" w:rsidR="00663520" w:rsidRPr="001E30A1" w:rsidRDefault="00663520" w:rsidP="00811703">
      <w:pPr>
        <w:rPr>
          <w:rFonts w:ascii="Arial" w:eastAsia="Times New Roman" w:hAnsi="Arial" w:cs="Arial"/>
          <w:lang w:eastAsia="en-GB"/>
        </w:rPr>
      </w:pPr>
    </w:p>
    <w:p w14:paraId="66E2ECC8" w14:textId="49E315CD" w:rsidR="00982395" w:rsidRDefault="00982395" w:rsidP="00811703">
      <w:pPr>
        <w:rPr>
          <w:rFonts w:ascii="Arial" w:eastAsia="Arial" w:hAnsi="Arial" w:cs="Arial"/>
          <w:b/>
          <w:lang w:eastAsia="en-GB"/>
        </w:rPr>
      </w:pPr>
      <w:r w:rsidRPr="00C92C15">
        <w:rPr>
          <w:rFonts w:ascii="Arial" w:eastAsia="Arial" w:hAnsi="Arial" w:cs="Arial"/>
          <w:b/>
          <w:lang w:eastAsia="en-GB"/>
        </w:rPr>
        <w:t>Tax</w:t>
      </w:r>
    </w:p>
    <w:p w14:paraId="27C83796" w14:textId="18DE1B32" w:rsidR="00892D85" w:rsidRPr="00892D85" w:rsidRDefault="00892D85" w:rsidP="00811703">
      <w:pPr>
        <w:rPr>
          <w:rFonts w:ascii="Arial" w:eastAsia="Arial" w:hAnsi="Arial" w:cs="Arial"/>
          <w:bCs/>
          <w:lang w:eastAsia="en-GB"/>
        </w:rPr>
      </w:pPr>
      <w:r w:rsidRPr="00892D85">
        <w:rPr>
          <w:rFonts w:ascii="Arial" w:eastAsia="Arial" w:hAnsi="Arial" w:cs="Arial"/>
          <w:bCs/>
          <w:lang w:eastAsia="en-GB"/>
        </w:rPr>
        <w:t>Chinese Restaurant Sees Off Tax Authorities in Takings Suppression Dispute</w:t>
      </w:r>
    </w:p>
    <w:p w14:paraId="52E6F88D" w14:textId="763FB91A" w:rsidR="00E56C88" w:rsidRDefault="00E56C88" w:rsidP="00811703">
      <w:pPr>
        <w:rPr>
          <w:rFonts w:ascii="Arial" w:eastAsia="Arial" w:hAnsi="Arial" w:cs="Arial"/>
          <w:bCs/>
          <w:lang w:eastAsia="en-GB"/>
        </w:rPr>
      </w:pPr>
    </w:p>
    <w:p w14:paraId="05AD1CF9" w14:textId="54DAA341" w:rsidR="006C3420" w:rsidRDefault="006C3420" w:rsidP="00811703">
      <w:pPr>
        <w:rPr>
          <w:rFonts w:ascii="Arial" w:eastAsia="Arial" w:hAnsi="Arial" w:cs="Arial"/>
          <w:b/>
          <w:lang w:eastAsia="en-GB"/>
        </w:rPr>
      </w:pPr>
      <w:r w:rsidRPr="00BF0F1F">
        <w:rPr>
          <w:rFonts w:ascii="Arial" w:eastAsia="Arial" w:hAnsi="Arial" w:cs="Arial"/>
          <w:b/>
          <w:lang w:eastAsia="en-GB"/>
        </w:rPr>
        <w:t>Com</w:t>
      </w:r>
      <w:r>
        <w:rPr>
          <w:rFonts w:ascii="Arial" w:eastAsia="Arial" w:hAnsi="Arial" w:cs="Arial"/>
          <w:b/>
          <w:lang w:eastAsia="en-GB"/>
        </w:rPr>
        <w:t>mercial Litigation</w:t>
      </w:r>
    </w:p>
    <w:p w14:paraId="62B5E095" w14:textId="4AA2A485" w:rsidR="00892D85" w:rsidRPr="00892D85" w:rsidRDefault="00892D85" w:rsidP="00811703">
      <w:pPr>
        <w:rPr>
          <w:rFonts w:ascii="Arial" w:eastAsia="Arial" w:hAnsi="Arial" w:cs="Arial"/>
          <w:bCs/>
          <w:lang w:eastAsia="en-GB"/>
        </w:rPr>
      </w:pPr>
      <w:r w:rsidRPr="00892D85">
        <w:rPr>
          <w:rFonts w:ascii="Arial" w:eastAsia="Arial" w:hAnsi="Arial" w:cs="Arial"/>
          <w:bCs/>
          <w:lang w:eastAsia="en-GB"/>
        </w:rPr>
        <w:t>Maker of Defective Axle Seals Ordered to Pay Over £11 Million in Damages</w:t>
      </w:r>
    </w:p>
    <w:p w14:paraId="02170D2E" w14:textId="77777777" w:rsidR="00061D0D" w:rsidRPr="00892D85" w:rsidRDefault="00061D0D" w:rsidP="00811703">
      <w:pPr>
        <w:rPr>
          <w:rFonts w:ascii="Arial" w:eastAsia="Arial" w:hAnsi="Arial" w:cs="Arial"/>
          <w:bCs/>
          <w:lang w:eastAsia="en-GB"/>
        </w:rPr>
      </w:pPr>
      <w:bookmarkStart w:id="0" w:name="_Hlk70415619"/>
    </w:p>
    <w:p w14:paraId="54354E6C" w14:textId="387448D6" w:rsidR="006522CF" w:rsidRDefault="006522CF" w:rsidP="00811703">
      <w:pPr>
        <w:rPr>
          <w:rFonts w:ascii="Arial" w:eastAsia="Arial" w:hAnsi="Arial" w:cs="Arial"/>
          <w:b/>
          <w:lang w:eastAsia="en-GB"/>
        </w:rPr>
      </w:pPr>
      <w:r w:rsidRPr="00C5768B">
        <w:rPr>
          <w:rFonts w:ascii="Arial" w:eastAsia="Arial" w:hAnsi="Arial" w:cs="Arial"/>
          <w:b/>
          <w:lang w:eastAsia="en-GB"/>
        </w:rPr>
        <w:t>Com</w:t>
      </w:r>
      <w:bookmarkEnd w:id="0"/>
      <w:r>
        <w:rPr>
          <w:rFonts w:ascii="Arial" w:eastAsia="Arial" w:hAnsi="Arial" w:cs="Arial"/>
          <w:b/>
          <w:lang w:eastAsia="en-GB"/>
        </w:rPr>
        <w:t>pany</w:t>
      </w:r>
    </w:p>
    <w:p w14:paraId="601AFEE6" w14:textId="12AE4B78" w:rsidR="00892D85" w:rsidRPr="00892D85" w:rsidRDefault="00892D85" w:rsidP="00811703">
      <w:pPr>
        <w:rPr>
          <w:rFonts w:ascii="Arial" w:eastAsia="Arial" w:hAnsi="Arial" w:cs="Arial"/>
          <w:bCs/>
          <w:lang w:eastAsia="en-GB"/>
        </w:rPr>
      </w:pPr>
      <w:r w:rsidRPr="00892D85">
        <w:rPr>
          <w:rFonts w:ascii="Arial" w:eastAsia="Arial" w:hAnsi="Arial" w:cs="Arial"/>
          <w:bCs/>
          <w:lang w:eastAsia="en-GB"/>
        </w:rPr>
        <w:t>Worldwide Freezing Orders and Dissipation of Assets – Guideline Ruling</w:t>
      </w:r>
    </w:p>
    <w:p w14:paraId="3383267C" w14:textId="77777777" w:rsidR="00061D0D" w:rsidRPr="00EF4943" w:rsidRDefault="00061D0D" w:rsidP="00811703">
      <w:pPr>
        <w:rPr>
          <w:rFonts w:ascii="Arial" w:eastAsia="Arial" w:hAnsi="Arial" w:cs="Arial"/>
          <w:lang w:eastAsia="en-GB"/>
        </w:rPr>
      </w:pPr>
    </w:p>
    <w:p w14:paraId="258A4D6B" w14:textId="5D374873" w:rsidR="00811703" w:rsidRDefault="00811703" w:rsidP="00811703">
      <w:pPr>
        <w:rPr>
          <w:rFonts w:ascii="Arial" w:eastAsia="Arial" w:hAnsi="Arial" w:cs="Arial"/>
          <w:b/>
          <w:lang w:eastAsia="en-GB"/>
        </w:rPr>
      </w:pPr>
      <w:r w:rsidRPr="00C5768B">
        <w:rPr>
          <w:rFonts w:ascii="Arial" w:eastAsia="Arial" w:hAnsi="Arial" w:cs="Arial"/>
          <w:b/>
          <w:lang w:eastAsia="en-GB"/>
        </w:rPr>
        <w:t>Contract</w:t>
      </w:r>
    </w:p>
    <w:p w14:paraId="2CE359A4" w14:textId="25B9454F" w:rsidR="00892D85" w:rsidRPr="00892D85" w:rsidRDefault="00892D85" w:rsidP="00811703">
      <w:pPr>
        <w:rPr>
          <w:rFonts w:ascii="Arial" w:eastAsia="Arial" w:hAnsi="Arial" w:cs="Arial"/>
          <w:bCs/>
          <w:lang w:eastAsia="en-GB"/>
        </w:rPr>
      </w:pPr>
      <w:r w:rsidRPr="00892D85">
        <w:rPr>
          <w:rFonts w:ascii="Arial" w:eastAsia="Arial" w:hAnsi="Arial" w:cs="Arial"/>
          <w:bCs/>
          <w:lang w:eastAsia="en-GB"/>
        </w:rPr>
        <w:t>Negotiating is One Thing</w:t>
      </w:r>
      <w:r w:rsidR="00BE4BEB">
        <w:rPr>
          <w:rFonts w:ascii="Arial" w:eastAsia="Arial" w:hAnsi="Arial" w:cs="Arial"/>
          <w:bCs/>
          <w:lang w:eastAsia="en-GB"/>
        </w:rPr>
        <w:t>,</w:t>
      </w:r>
      <w:r w:rsidRPr="00892D85">
        <w:rPr>
          <w:rFonts w:ascii="Arial" w:eastAsia="Arial" w:hAnsi="Arial" w:cs="Arial"/>
          <w:bCs/>
          <w:lang w:eastAsia="en-GB"/>
        </w:rPr>
        <w:t xml:space="preserve"> </w:t>
      </w:r>
      <w:r w:rsidR="00BE4BEB">
        <w:rPr>
          <w:rFonts w:ascii="Arial" w:eastAsia="Arial" w:hAnsi="Arial" w:cs="Arial"/>
          <w:bCs/>
          <w:lang w:eastAsia="en-GB"/>
        </w:rPr>
        <w:t>B</w:t>
      </w:r>
      <w:r w:rsidRPr="00892D85">
        <w:rPr>
          <w:rFonts w:ascii="Arial" w:eastAsia="Arial" w:hAnsi="Arial" w:cs="Arial"/>
          <w:bCs/>
          <w:lang w:eastAsia="en-GB"/>
        </w:rPr>
        <w:t xml:space="preserve">ut Completing a Binding Contract </w:t>
      </w:r>
      <w:r w:rsidR="00BE4BEB">
        <w:rPr>
          <w:rFonts w:ascii="Arial" w:eastAsia="Arial" w:hAnsi="Arial" w:cs="Arial"/>
          <w:bCs/>
          <w:lang w:eastAsia="en-GB"/>
        </w:rPr>
        <w:t>i</w:t>
      </w:r>
      <w:r w:rsidR="00BE4BEB" w:rsidRPr="00892D85">
        <w:rPr>
          <w:rFonts w:ascii="Arial" w:eastAsia="Arial" w:hAnsi="Arial" w:cs="Arial"/>
          <w:bCs/>
          <w:lang w:eastAsia="en-GB"/>
        </w:rPr>
        <w:t xml:space="preserve">s </w:t>
      </w:r>
      <w:r w:rsidRPr="00892D85">
        <w:rPr>
          <w:rFonts w:ascii="Arial" w:eastAsia="Arial" w:hAnsi="Arial" w:cs="Arial"/>
          <w:bCs/>
          <w:lang w:eastAsia="en-GB"/>
        </w:rPr>
        <w:t>Quite Another</w:t>
      </w:r>
    </w:p>
    <w:p w14:paraId="4362CA47" w14:textId="33AC609F" w:rsidR="003C3F83" w:rsidRPr="000145F6" w:rsidRDefault="003C3F83" w:rsidP="00811703">
      <w:pPr>
        <w:rPr>
          <w:rFonts w:ascii="Arial" w:eastAsia="Arial" w:hAnsi="Arial" w:cs="Arial"/>
          <w:bCs/>
          <w:lang w:eastAsia="en-GB"/>
        </w:rPr>
      </w:pPr>
    </w:p>
    <w:p w14:paraId="78EBF0B7" w14:textId="49C9CDCA" w:rsidR="003D782E" w:rsidRDefault="003D782E" w:rsidP="00811703">
      <w:pPr>
        <w:rPr>
          <w:rFonts w:ascii="Arial" w:eastAsia="Arial" w:hAnsi="Arial" w:cs="Arial"/>
          <w:b/>
          <w:lang w:eastAsia="en-GB"/>
        </w:rPr>
      </w:pPr>
      <w:r>
        <w:rPr>
          <w:rFonts w:ascii="Arial" w:eastAsia="Arial" w:hAnsi="Arial" w:cs="Arial"/>
          <w:b/>
          <w:lang w:eastAsia="en-GB"/>
        </w:rPr>
        <w:t>In</w:t>
      </w:r>
      <w:r w:rsidR="00530916">
        <w:rPr>
          <w:rFonts w:ascii="Arial" w:eastAsia="Arial" w:hAnsi="Arial" w:cs="Arial"/>
          <w:b/>
          <w:lang w:eastAsia="en-GB"/>
        </w:rPr>
        <w:t>tellectual Property</w:t>
      </w:r>
    </w:p>
    <w:p w14:paraId="5DE887E3" w14:textId="38236F59" w:rsidR="00290B7B" w:rsidRPr="000A670B" w:rsidRDefault="000A670B" w:rsidP="00811703">
      <w:pPr>
        <w:rPr>
          <w:rFonts w:ascii="Arial" w:eastAsia="Arial" w:hAnsi="Arial" w:cs="Arial"/>
          <w:bCs/>
          <w:lang w:eastAsia="en-GB"/>
        </w:rPr>
      </w:pPr>
      <w:r w:rsidRPr="000A670B">
        <w:rPr>
          <w:rFonts w:ascii="Arial" w:eastAsia="Arial" w:hAnsi="Arial" w:cs="Arial"/>
          <w:bCs/>
          <w:lang w:eastAsia="en-GB"/>
        </w:rPr>
        <w:t>Even Modest Sole Traders Can Reap the Benefits of Trade Mark Protection</w:t>
      </w:r>
    </w:p>
    <w:p w14:paraId="694CCE4C" w14:textId="77777777" w:rsidR="0085606F" w:rsidRPr="000A670B" w:rsidRDefault="0085606F" w:rsidP="00811703">
      <w:pPr>
        <w:rPr>
          <w:rFonts w:ascii="Arial" w:eastAsia="Arial" w:hAnsi="Arial" w:cs="Arial"/>
          <w:bCs/>
          <w:lang w:eastAsia="en-GB"/>
        </w:rPr>
      </w:pPr>
    </w:p>
    <w:p w14:paraId="3B69EE96" w14:textId="18D68968" w:rsidR="00364813" w:rsidRDefault="008134F3" w:rsidP="00811703">
      <w:pPr>
        <w:rPr>
          <w:rFonts w:ascii="Arial" w:eastAsia="Arial" w:hAnsi="Arial" w:cs="Arial"/>
          <w:b/>
          <w:lang w:eastAsia="en-GB"/>
        </w:rPr>
      </w:pPr>
      <w:r>
        <w:rPr>
          <w:rFonts w:ascii="Arial" w:eastAsia="Arial" w:hAnsi="Arial" w:cs="Arial"/>
          <w:b/>
          <w:lang w:eastAsia="en-GB"/>
        </w:rPr>
        <w:t>Professional Negligence</w:t>
      </w:r>
    </w:p>
    <w:p w14:paraId="79620C3B" w14:textId="1C358D5B" w:rsidR="000A670B" w:rsidRPr="000A670B" w:rsidRDefault="000A670B" w:rsidP="00811703">
      <w:pPr>
        <w:rPr>
          <w:rFonts w:ascii="Arial" w:eastAsia="Arial" w:hAnsi="Arial" w:cs="Arial"/>
          <w:bCs/>
          <w:lang w:eastAsia="en-GB"/>
        </w:rPr>
      </w:pPr>
      <w:r w:rsidRPr="000A670B">
        <w:rPr>
          <w:rFonts w:ascii="Arial" w:eastAsia="Arial" w:hAnsi="Arial" w:cs="Arial"/>
          <w:bCs/>
          <w:lang w:eastAsia="en-GB"/>
        </w:rPr>
        <w:t xml:space="preserve">Innocent Law Firm Partners Not </w:t>
      </w:r>
      <w:r w:rsidR="00707F1F">
        <w:rPr>
          <w:rFonts w:ascii="Arial" w:eastAsia="Arial" w:hAnsi="Arial" w:cs="Arial"/>
          <w:bCs/>
          <w:lang w:eastAsia="en-GB"/>
        </w:rPr>
        <w:t>'</w:t>
      </w:r>
      <w:r w:rsidRPr="000A670B">
        <w:rPr>
          <w:rFonts w:ascii="Arial" w:eastAsia="Arial" w:hAnsi="Arial" w:cs="Arial"/>
          <w:bCs/>
          <w:lang w:eastAsia="en-GB"/>
        </w:rPr>
        <w:t>Privy</w:t>
      </w:r>
      <w:r w:rsidR="00707F1F">
        <w:rPr>
          <w:rFonts w:ascii="Arial" w:eastAsia="Arial" w:hAnsi="Arial" w:cs="Arial"/>
          <w:bCs/>
          <w:lang w:eastAsia="en-GB"/>
        </w:rPr>
        <w:t>'</w:t>
      </w:r>
      <w:r w:rsidRPr="000A670B">
        <w:rPr>
          <w:rFonts w:ascii="Arial" w:eastAsia="Arial" w:hAnsi="Arial" w:cs="Arial"/>
          <w:bCs/>
          <w:lang w:eastAsia="en-GB"/>
        </w:rPr>
        <w:t xml:space="preserve"> to Colleague</w:t>
      </w:r>
      <w:r w:rsidR="00707F1F">
        <w:rPr>
          <w:rFonts w:ascii="Arial" w:eastAsia="Arial" w:hAnsi="Arial" w:cs="Arial"/>
          <w:bCs/>
          <w:lang w:eastAsia="en-GB"/>
        </w:rPr>
        <w:t>'</w:t>
      </w:r>
      <w:r w:rsidRPr="000A670B">
        <w:rPr>
          <w:rFonts w:ascii="Arial" w:eastAsia="Arial" w:hAnsi="Arial" w:cs="Arial"/>
          <w:bCs/>
          <w:lang w:eastAsia="en-GB"/>
        </w:rPr>
        <w:t>s Dishonest Acts</w:t>
      </w:r>
    </w:p>
    <w:p w14:paraId="6BD165AF" w14:textId="77777777" w:rsidR="001B75C9" w:rsidRPr="0010262A" w:rsidRDefault="001B75C9" w:rsidP="00811703">
      <w:pPr>
        <w:rPr>
          <w:rFonts w:ascii="Arial" w:eastAsia="Arial" w:hAnsi="Arial" w:cs="Arial"/>
          <w:bCs/>
          <w:lang w:eastAsia="en-GB"/>
        </w:rPr>
      </w:pPr>
    </w:p>
    <w:p w14:paraId="0BF4C1A4" w14:textId="27A79309" w:rsidR="000C544F" w:rsidRDefault="000C544F" w:rsidP="00811703">
      <w:pPr>
        <w:rPr>
          <w:rFonts w:ascii="Arial" w:eastAsia="Arial" w:hAnsi="Arial" w:cs="Arial"/>
          <w:b/>
          <w:lang w:eastAsia="en-GB"/>
        </w:rPr>
      </w:pPr>
      <w:bookmarkStart w:id="1" w:name="_Hlk38964802"/>
      <w:bookmarkStart w:id="2" w:name="_Hlk57196883"/>
      <w:r w:rsidRPr="00C5768B">
        <w:rPr>
          <w:rFonts w:ascii="Arial" w:eastAsia="Arial" w:hAnsi="Arial" w:cs="Arial"/>
          <w:b/>
          <w:lang w:eastAsia="en-GB"/>
        </w:rPr>
        <w:t>E</w:t>
      </w:r>
      <w:bookmarkEnd w:id="1"/>
      <w:r w:rsidRPr="00C5768B">
        <w:rPr>
          <w:rFonts w:ascii="Arial" w:eastAsia="Arial" w:hAnsi="Arial" w:cs="Arial"/>
          <w:b/>
          <w:lang w:eastAsia="en-GB"/>
        </w:rPr>
        <w:t>m</w:t>
      </w:r>
      <w:bookmarkStart w:id="3" w:name="_Hlk46394828"/>
      <w:bookmarkEnd w:id="2"/>
      <w:r w:rsidRPr="00C5768B">
        <w:rPr>
          <w:rFonts w:ascii="Arial" w:eastAsia="Arial" w:hAnsi="Arial" w:cs="Arial"/>
          <w:b/>
          <w:lang w:eastAsia="en-GB"/>
        </w:rPr>
        <w:t>ploy</w:t>
      </w:r>
      <w:bookmarkEnd w:id="3"/>
      <w:r w:rsidRPr="00C5768B">
        <w:rPr>
          <w:rFonts w:ascii="Arial" w:eastAsia="Arial" w:hAnsi="Arial" w:cs="Arial"/>
          <w:b/>
          <w:lang w:eastAsia="en-GB"/>
        </w:rPr>
        <w:t>ment</w:t>
      </w:r>
    </w:p>
    <w:p w14:paraId="62C07731" w14:textId="39628387" w:rsidR="00707F1F" w:rsidRPr="00707F1F" w:rsidRDefault="00707F1F" w:rsidP="00811703">
      <w:pPr>
        <w:rPr>
          <w:rFonts w:ascii="Arial" w:eastAsia="Arial" w:hAnsi="Arial" w:cs="Arial"/>
          <w:bCs/>
          <w:lang w:eastAsia="en-GB"/>
        </w:rPr>
      </w:pPr>
      <w:r w:rsidRPr="00707F1F">
        <w:rPr>
          <w:rFonts w:ascii="Arial" w:eastAsia="Arial" w:hAnsi="Arial" w:cs="Arial"/>
          <w:bCs/>
          <w:lang w:eastAsia="en-GB"/>
        </w:rPr>
        <w:t>Employer Pays High Price for Turning Blind Eye to 'Toxic' Office Culture</w:t>
      </w:r>
    </w:p>
    <w:p w14:paraId="0D84E539" w14:textId="13259455" w:rsidR="00283C46" w:rsidRPr="00E15BFC" w:rsidRDefault="00283C46" w:rsidP="00811703">
      <w:pPr>
        <w:rPr>
          <w:rFonts w:ascii="Arial" w:eastAsia="Arial" w:hAnsi="Arial" w:cs="Arial"/>
          <w:bCs/>
          <w:lang w:eastAsia="en-GB"/>
        </w:rPr>
      </w:pPr>
    </w:p>
    <w:p w14:paraId="06331B67" w14:textId="1D4E8FC1" w:rsidR="001C6F98" w:rsidRDefault="00811703" w:rsidP="00AC5864">
      <w:pPr>
        <w:spacing w:before="100" w:beforeAutospacing="1" w:after="100" w:afterAutospacing="1"/>
        <w:rPr>
          <w:rFonts w:ascii="Arial" w:eastAsia="Times New Roman" w:hAnsi="Arial" w:cs="Arial"/>
          <w:sz w:val="28"/>
          <w:szCs w:val="28"/>
          <w:lang w:eastAsia="en-GB"/>
        </w:rPr>
      </w:pPr>
      <w:r w:rsidRPr="00252D58">
        <w:rPr>
          <w:rFonts w:ascii="Arial" w:eastAsia="Times New Roman" w:hAnsi="Arial" w:cs="Arial"/>
          <w:sz w:val="28"/>
          <w:szCs w:val="28"/>
          <w:lang w:eastAsia="en-GB"/>
        </w:rPr>
        <w:t>Ge</w:t>
      </w:r>
      <w:bookmarkStart w:id="4" w:name="_Hlk70506446"/>
      <w:r w:rsidRPr="00252D58">
        <w:rPr>
          <w:rFonts w:ascii="Arial" w:eastAsia="Times New Roman" w:hAnsi="Arial" w:cs="Arial"/>
          <w:sz w:val="28"/>
          <w:szCs w:val="28"/>
          <w:lang w:eastAsia="en-GB"/>
        </w:rPr>
        <w:t>ner</w:t>
      </w:r>
      <w:bookmarkEnd w:id="4"/>
      <w:r w:rsidRPr="00252D58">
        <w:rPr>
          <w:rFonts w:ascii="Arial" w:eastAsia="Times New Roman" w:hAnsi="Arial" w:cs="Arial"/>
          <w:sz w:val="28"/>
          <w:szCs w:val="28"/>
          <w:lang w:eastAsia="en-GB"/>
        </w:rPr>
        <w:t>al</w:t>
      </w:r>
    </w:p>
    <w:p w14:paraId="0C6D235F" w14:textId="77777777" w:rsidR="00892D85" w:rsidRPr="00892D85" w:rsidRDefault="00892D85" w:rsidP="00892D85">
      <w:pPr>
        <w:spacing w:before="100" w:beforeAutospacing="1" w:after="100" w:afterAutospacing="1"/>
        <w:rPr>
          <w:rFonts w:ascii="Arial" w:eastAsia="Calibri" w:hAnsi="Arial" w:cs="Arial"/>
          <w:b/>
          <w:bCs/>
          <w:sz w:val="24"/>
          <w:szCs w:val="24"/>
        </w:rPr>
      </w:pPr>
      <w:r w:rsidRPr="00892D85">
        <w:rPr>
          <w:rFonts w:ascii="Arial" w:eastAsia="Calibri" w:hAnsi="Arial" w:cs="Arial"/>
          <w:b/>
          <w:bCs/>
          <w:sz w:val="24"/>
          <w:szCs w:val="24"/>
        </w:rPr>
        <w:t>COVID-19 – Procurement Dispute Focuses on Award of Face Masks Contract</w:t>
      </w:r>
    </w:p>
    <w:p w14:paraId="51F2B2E6" w14:textId="77777777"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The means by which the government procured urgent supplies of personal protective equipment (PPE) in the early days of the COVID-19 pandemic have been the subject of fevered debate. However, as one case underlined, it is a feature of a free society that such contentious issues are ultimately resolved in a public court.</w:t>
      </w:r>
    </w:p>
    <w:p w14:paraId="66C61504" w14:textId="77777777"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A supplier launched proceedings against the Secretary of State for Health and Social Care after it tendered unsuccessfully to supply face masks used in close clinical settings. The tendering process took place in the early part of 2020 just as the first wave of the pandemic was taking hold.</w:t>
      </w:r>
    </w:p>
    <w:p w14:paraId="58213722" w14:textId="54A58163"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 xml:space="preserve">The supplier alleged that the process adopted involved a number of breaches of the Public Contracts Regulations 2015, including a failure to advertise, a failure to allow competition and the use of a so-called </w:t>
      </w:r>
      <w:r w:rsidR="00707F1F">
        <w:rPr>
          <w:rFonts w:ascii="Arial" w:eastAsia="Calibri" w:hAnsi="Arial" w:cs="Arial"/>
          <w:sz w:val="24"/>
          <w:szCs w:val="24"/>
        </w:rPr>
        <w:t>'</w:t>
      </w:r>
      <w:r w:rsidRPr="00892D85">
        <w:rPr>
          <w:rFonts w:ascii="Arial" w:eastAsia="Calibri" w:hAnsi="Arial" w:cs="Arial"/>
          <w:sz w:val="24"/>
          <w:szCs w:val="24"/>
        </w:rPr>
        <w:t xml:space="preserve">VIP </w:t>
      </w:r>
      <w:r w:rsidR="004E79E3">
        <w:rPr>
          <w:rFonts w:ascii="Arial" w:eastAsia="Calibri" w:hAnsi="Arial" w:cs="Arial"/>
          <w:sz w:val="24"/>
          <w:szCs w:val="24"/>
        </w:rPr>
        <w:t>l</w:t>
      </w:r>
      <w:r w:rsidR="004E79E3" w:rsidRPr="00892D85">
        <w:rPr>
          <w:rFonts w:ascii="Arial" w:eastAsia="Calibri" w:hAnsi="Arial" w:cs="Arial"/>
          <w:sz w:val="24"/>
          <w:szCs w:val="24"/>
        </w:rPr>
        <w:t>ane</w:t>
      </w:r>
      <w:r w:rsidR="004E79E3">
        <w:rPr>
          <w:rFonts w:ascii="Arial" w:eastAsia="Calibri" w:hAnsi="Arial" w:cs="Arial"/>
          <w:sz w:val="24"/>
          <w:szCs w:val="24"/>
        </w:rPr>
        <w:t>'</w:t>
      </w:r>
      <w:r w:rsidR="004E79E3" w:rsidRPr="00892D85">
        <w:rPr>
          <w:rFonts w:ascii="Arial" w:eastAsia="Calibri" w:hAnsi="Arial" w:cs="Arial"/>
          <w:sz w:val="24"/>
          <w:szCs w:val="24"/>
        </w:rPr>
        <w:t xml:space="preserve"> </w:t>
      </w:r>
      <w:r w:rsidRPr="00892D85">
        <w:rPr>
          <w:rFonts w:ascii="Arial" w:eastAsia="Calibri" w:hAnsi="Arial" w:cs="Arial"/>
          <w:sz w:val="24"/>
          <w:szCs w:val="24"/>
        </w:rPr>
        <w:t>for preferred suppliers. The Secretary of State denied the allegations, asserting that the procurement method adopted was justified given the unpredictability of the pandemic and the extreme urgency of the situation at the relevant time.</w:t>
      </w:r>
    </w:p>
    <w:p w14:paraId="0D4CF6C9" w14:textId="2AF885EC"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lastRenderedPageBreak/>
        <w:t>He also contended that the supplier</w:t>
      </w:r>
      <w:r w:rsidR="00707F1F">
        <w:rPr>
          <w:rFonts w:ascii="Arial" w:eastAsia="Calibri" w:hAnsi="Arial" w:cs="Arial"/>
          <w:sz w:val="24"/>
          <w:szCs w:val="24"/>
        </w:rPr>
        <w:t>'</w:t>
      </w:r>
      <w:r w:rsidRPr="00892D85">
        <w:rPr>
          <w:rFonts w:ascii="Arial" w:eastAsia="Calibri" w:hAnsi="Arial" w:cs="Arial"/>
          <w:sz w:val="24"/>
          <w:szCs w:val="24"/>
        </w:rPr>
        <w:t>s tender was in any event defective and invalid in that it failed to include certain information that was required to pass the technical evaluation stage of the process. That was denied by the supplier, who asserted that the Secretary of State had fundamentally misunderstood the basis of the tendering specification and manifestly erred in his assessment of its offer.</w:t>
      </w:r>
    </w:p>
    <w:p w14:paraId="5CA431EB" w14:textId="5D96365F"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 xml:space="preserve">Following a pre-trial hearing, the </w:t>
      </w:r>
      <w:r w:rsidR="004E79E3">
        <w:rPr>
          <w:rFonts w:ascii="Arial" w:eastAsia="Calibri" w:hAnsi="Arial" w:cs="Arial"/>
          <w:sz w:val="24"/>
          <w:szCs w:val="24"/>
        </w:rPr>
        <w:t xml:space="preserve">High </w:t>
      </w:r>
      <w:r w:rsidRPr="00892D85">
        <w:rPr>
          <w:rFonts w:ascii="Arial" w:eastAsia="Calibri" w:hAnsi="Arial" w:cs="Arial"/>
          <w:sz w:val="24"/>
          <w:szCs w:val="24"/>
        </w:rPr>
        <w:t xml:space="preserve">Court took the highly unusual step of authorising the supplier to call expert evidence in the procurement proceedings. That evidence was limited to technical issues regarding standards and methods of testing PPE. </w:t>
      </w:r>
      <w:proofErr w:type="gramStart"/>
      <w:r w:rsidRPr="00892D85">
        <w:rPr>
          <w:rFonts w:ascii="Arial" w:eastAsia="Calibri" w:hAnsi="Arial" w:cs="Arial"/>
          <w:sz w:val="24"/>
          <w:szCs w:val="24"/>
        </w:rPr>
        <w:t>In order to</w:t>
      </w:r>
      <w:proofErr w:type="gramEnd"/>
      <w:r w:rsidRPr="00892D85">
        <w:rPr>
          <w:rFonts w:ascii="Arial" w:eastAsia="Calibri" w:hAnsi="Arial" w:cs="Arial"/>
          <w:sz w:val="24"/>
          <w:szCs w:val="24"/>
        </w:rPr>
        <w:t xml:space="preserve"> maintain a level playing field, the Secretary of State was also granted permission to rely on expert testimony concerning those issues.</w:t>
      </w:r>
    </w:p>
    <w:p w14:paraId="221BE75B" w14:textId="77777777" w:rsidR="00892D85" w:rsidRPr="00892D85" w:rsidRDefault="00892D85" w:rsidP="00892D85">
      <w:pPr>
        <w:rPr>
          <w:rFonts w:ascii="Arial" w:eastAsia="Calibri" w:hAnsi="Arial" w:cs="Arial"/>
          <w:b/>
          <w:bCs/>
          <w:sz w:val="24"/>
          <w:szCs w:val="24"/>
        </w:rPr>
      </w:pPr>
      <w:r w:rsidRPr="00892D85">
        <w:rPr>
          <w:rFonts w:ascii="Arial" w:eastAsia="Calibri" w:hAnsi="Arial" w:cs="Arial"/>
          <w:b/>
          <w:bCs/>
          <w:sz w:val="24"/>
          <w:szCs w:val="24"/>
        </w:rPr>
        <w:t>Partner Note</w:t>
      </w:r>
    </w:p>
    <w:p w14:paraId="23873F83" w14:textId="7A5DC6C6" w:rsidR="00892D85" w:rsidRPr="00892D85" w:rsidRDefault="00892D85" w:rsidP="00892D85">
      <w:pPr>
        <w:rPr>
          <w:rFonts w:ascii="Arial" w:eastAsia="Calibri" w:hAnsi="Arial" w:cs="Arial"/>
          <w:sz w:val="24"/>
          <w:szCs w:val="24"/>
        </w:rPr>
      </w:pPr>
      <w:r w:rsidRPr="00892D85">
        <w:rPr>
          <w:rFonts w:ascii="Arial" w:eastAsia="Calibri" w:hAnsi="Arial" w:cs="Arial"/>
          <w:sz w:val="24"/>
          <w:szCs w:val="24"/>
        </w:rPr>
        <w:t>Bop-Me Ltd v The Secretary of State for Health and Social Care</w:t>
      </w:r>
      <w:r w:rsidR="00035611">
        <w:rPr>
          <w:rFonts w:ascii="Arial" w:eastAsia="Calibri" w:hAnsi="Arial" w:cs="Arial"/>
          <w:sz w:val="24"/>
          <w:szCs w:val="24"/>
        </w:rPr>
        <w:t xml:space="preserve"> </w:t>
      </w:r>
      <w:r w:rsidR="00035611" w:rsidRPr="00035611">
        <w:rPr>
          <w:rFonts w:ascii="Arial" w:eastAsia="Calibri" w:hAnsi="Arial" w:cs="Arial"/>
          <w:sz w:val="24"/>
          <w:szCs w:val="24"/>
        </w:rPr>
        <w:t>[2021] EWHC 1817 (TCC)</w:t>
      </w:r>
    </w:p>
    <w:p w14:paraId="6F63688D" w14:textId="27F35E3C" w:rsidR="00624F99" w:rsidRDefault="00624F99" w:rsidP="005D57FA">
      <w:pPr>
        <w:spacing w:before="100" w:beforeAutospacing="1" w:after="100" w:afterAutospacing="1"/>
        <w:rPr>
          <w:rFonts w:ascii="Arial" w:eastAsia="Times New Roman" w:hAnsi="Arial" w:cs="Arial"/>
          <w:iCs/>
          <w:sz w:val="28"/>
          <w:szCs w:val="28"/>
          <w:lang w:eastAsia="en-GB"/>
        </w:rPr>
      </w:pPr>
      <w:r w:rsidRPr="00624F99">
        <w:rPr>
          <w:rFonts w:ascii="Arial" w:eastAsia="Times New Roman" w:hAnsi="Arial" w:cs="Arial"/>
          <w:iCs/>
          <w:sz w:val="28"/>
          <w:szCs w:val="28"/>
          <w:lang w:eastAsia="en-GB"/>
        </w:rPr>
        <w:t>Property</w:t>
      </w:r>
    </w:p>
    <w:p w14:paraId="52DA8491" w14:textId="14D4D014" w:rsidR="00A41958" w:rsidRPr="00A41958" w:rsidRDefault="00A41958" w:rsidP="00A41958">
      <w:pPr>
        <w:spacing w:before="100" w:beforeAutospacing="1" w:after="100" w:afterAutospacing="1"/>
        <w:rPr>
          <w:rFonts w:ascii="Arial" w:eastAsia="Calibri" w:hAnsi="Arial" w:cs="Arial"/>
          <w:b/>
          <w:bCs/>
          <w:sz w:val="24"/>
          <w:szCs w:val="24"/>
        </w:rPr>
      </w:pPr>
      <w:r w:rsidRPr="00A41958">
        <w:rPr>
          <w:rFonts w:ascii="Arial" w:eastAsia="Calibri" w:hAnsi="Arial" w:cs="Arial"/>
          <w:b/>
          <w:bCs/>
          <w:sz w:val="24"/>
          <w:szCs w:val="24"/>
        </w:rPr>
        <w:t xml:space="preserve">Break Clauses in Commercial Leases – What Does </w:t>
      </w:r>
      <w:r w:rsidR="00707F1F">
        <w:rPr>
          <w:rFonts w:ascii="Arial" w:eastAsia="Calibri" w:hAnsi="Arial" w:cs="Arial"/>
          <w:b/>
          <w:bCs/>
          <w:sz w:val="24"/>
          <w:szCs w:val="24"/>
        </w:rPr>
        <w:t>'</w:t>
      </w:r>
      <w:r w:rsidRPr="00A41958">
        <w:rPr>
          <w:rFonts w:ascii="Arial" w:eastAsia="Calibri" w:hAnsi="Arial" w:cs="Arial"/>
          <w:b/>
          <w:bCs/>
          <w:sz w:val="24"/>
          <w:szCs w:val="24"/>
        </w:rPr>
        <w:t>Vacant Possession</w:t>
      </w:r>
      <w:r w:rsidR="00707F1F">
        <w:rPr>
          <w:rFonts w:ascii="Arial" w:eastAsia="Calibri" w:hAnsi="Arial" w:cs="Arial"/>
          <w:b/>
          <w:bCs/>
          <w:sz w:val="24"/>
          <w:szCs w:val="24"/>
        </w:rPr>
        <w:t>'</w:t>
      </w:r>
      <w:r w:rsidRPr="00A41958">
        <w:rPr>
          <w:rFonts w:ascii="Arial" w:eastAsia="Calibri" w:hAnsi="Arial" w:cs="Arial"/>
          <w:b/>
          <w:bCs/>
          <w:sz w:val="24"/>
          <w:szCs w:val="24"/>
        </w:rPr>
        <w:t xml:space="preserve"> Mean?</w:t>
      </w:r>
    </w:p>
    <w:p w14:paraId="241C9B19" w14:textId="73B80805" w:rsidR="00A41958" w:rsidRPr="00A41958" w:rsidRDefault="00A41958" w:rsidP="00A41958">
      <w:pPr>
        <w:spacing w:before="100" w:beforeAutospacing="1" w:after="100" w:afterAutospacing="1"/>
        <w:rPr>
          <w:rFonts w:ascii="Arial" w:eastAsia="Calibri" w:hAnsi="Arial" w:cs="Arial"/>
          <w:sz w:val="24"/>
          <w:szCs w:val="24"/>
        </w:rPr>
      </w:pPr>
      <w:r w:rsidRPr="00A41958">
        <w:rPr>
          <w:rFonts w:ascii="Arial" w:eastAsia="Calibri" w:hAnsi="Arial" w:cs="Arial"/>
          <w:sz w:val="24"/>
          <w:szCs w:val="24"/>
        </w:rPr>
        <w:t xml:space="preserve">Commercial leases frequently stipulate that premises are to be handed back to the landlord </w:t>
      </w:r>
      <w:r w:rsidR="00707F1F">
        <w:rPr>
          <w:rFonts w:ascii="Arial" w:eastAsia="Calibri" w:hAnsi="Arial" w:cs="Arial"/>
          <w:sz w:val="24"/>
          <w:szCs w:val="24"/>
        </w:rPr>
        <w:t>'</w:t>
      </w:r>
      <w:r w:rsidRPr="00A41958">
        <w:rPr>
          <w:rFonts w:ascii="Arial" w:eastAsia="Calibri" w:hAnsi="Arial" w:cs="Arial"/>
          <w:sz w:val="24"/>
          <w:szCs w:val="24"/>
        </w:rPr>
        <w:t>with vacant possession</w:t>
      </w:r>
      <w:r w:rsidR="00707F1F">
        <w:rPr>
          <w:rFonts w:ascii="Arial" w:eastAsia="Calibri" w:hAnsi="Arial" w:cs="Arial"/>
          <w:sz w:val="24"/>
          <w:szCs w:val="24"/>
        </w:rPr>
        <w:t>'</w:t>
      </w:r>
      <w:r w:rsidRPr="00A41958">
        <w:rPr>
          <w:rFonts w:ascii="Arial" w:eastAsia="Calibri" w:hAnsi="Arial" w:cs="Arial"/>
          <w:sz w:val="24"/>
          <w:szCs w:val="24"/>
        </w:rPr>
        <w:t xml:space="preserve"> – but what exactly does that mean? The Court of Appeal pondered the issue in a case concerning an office block that was stripped back almost to the walls prior to the tenant</w:t>
      </w:r>
      <w:r w:rsidR="00707F1F">
        <w:rPr>
          <w:rFonts w:ascii="Arial" w:eastAsia="Calibri" w:hAnsi="Arial" w:cs="Arial"/>
          <w:sz w:val="24"/>
          <w:szCs w:val="24"/>
        </w:rPr>
        <w:t>'</w:t>
      </w:r>
      <w:r w:rsidRPr="00A41958">
        <w:rPr>
          <w:rFonts w:ascii="Arial" w:eastAsia="Calibri" w:hAnsi="Arial" w:cs="Arial"/>
          <w:sz w:val="24"/>
          <w:szCs w:val="24"/>
        </w:rPr>
        <w:t>s departure.</w:t>
      </w:r>
    </w:p>
    <w:p w14:paraId="7876E18D" w14:textId="190516A4" w:rsidR="00A41958" w:rsidRPr="00A41958" w:rsidRDefault="00A41958" w:rsidP="00A41958">
      <w:pPr>
        <w:spacing w:before="100" w:beforeAutospacing="1" w:after="100" w:afterAutospacing="1"/>
        <w:rPr>
          <w:rFonts w:ascii="Arial" w:eastAsia="Calibri" w:hAnsi="Arial" w:cs="Arial"/>
          <w:sz w:val="24"/>
          <w:szCs w:val="24"/>
        </w:rPr>
      </w:pPr>
      <w:r w:rsidRPr="00A41958">
        <w:rPr>
          <w:rFonts w:ascii="Arial" w:eastAsia="Calibri" w:hAnsi="Arial" w:cs="Arial"/>
          <w:sz w:val="24"/>
          <w:szCs w:val="24"/>
        </w:rPr>
        <w:t>Before it purported to exercise a break clause in the block</w:t>
      </w:r>
      <w:r w:rsidR="00707F1F">
        <w:rPr>
          <w:rFonts w:ascii="Arial" w:eastAsia="Calibri" w:hAnsi="Arial" w:cs="Arial"/>
          <w:sz w:val="24"/>
          <w:szCs w:val="24"/>
        </w:rPr>
        <w:t>'</w:t>
      </w:r>
      <w:r w:rsidRPr="00A41958">
        <w:rPr>
          <w:rFonts w:ascii="Arial" w:eastAsia="Calibri" w:hAnsi="Arial" w:cs="Arial"/>
          <w:sz w:val="24"/>
          <w:szCs w:val="24"/>
        </w:rPr>
        <w:t xml:space="preserve">s 24-year lease, the tenant removed almost all fixtures and fittings, including ceiling tiles, </w:t>
      </w:r>
      <w:proofErr w:type="gramStart"/>
      <w:r w:rsidRPr="00A41958">
        <w:rPr>
          <w:rFonts w:ascii="Arial" w:eastAsia="Calibri" w:hAnsi="Arial" w:cs="Arial"/>
          <w:sz w:val="24"/>
          <w:szCs w:val="24"/>
        </w:rPr>
        <w:t>window sills</w:t>
      </w:r>
      <w:proofErr w:type="gramEnd"/>
      <w:r w:rsidRPr="00A41958">
        <w:rPr>
          <w:rFonts w:ascii="Arial" w:eastAsia="Calibri" w:hAnsi="Arial" w:cs="Arial"/>
          <w:sz w:val="24"/>
          <w:szCs w:val="24"/>
        </w:rPr>
        <w:t>, pipework and floor finishes. Some of the features stripped out formed part of the original base-build of the premises and were either the landlord</w:t>
      </w:r>
      <w:r w:rsidR="00707F1F">
        <w:rPr>
          <w:rFonts w:ascii="Arial" w:eastAsia="Calibri" w:hAnsi="Arial" w:cs="Arial"/>
          <w:sz w:val="24"/>
          <w:szCs w:val="24"/>
        </w:rPr>
        <w:t>'</w:t>
      </w:r>
      <w:r w:rsidRPr="00A41958">
        <w:rPr>
          <w:rFonts w:ascii="Arial" w:eastAsia="Calibri" w:hAnsi="Arial" w:cs="Arial"/>
          <w:sz w:val="24"/>
          <w:szCs w:val="24"/>
        </w:rPr>
        <w:t>s property or elements of the building itself.</w:t>
      </w:r>
    </w:p>
    <w:p w14:paraId="03B7C567" w14:textId="532E9B6D" w:rsidR="00A41958" w:rsidRPr="00A41958" w:rsidRDefault="00A41958" w:rsidP="00A41958">
      <w:pPr>
        <w:spacing w:before="100" w:beforeAutospacing="1" w:after="100" w:afterAutospacing="1"/>
        <w:rPr>
          <w:rFonts w:ascii="Arial" w:eastAsia="Calibri" w:hAnsi="Arial" w:cs="Arial"/>
          <w:sz w:val="24"/>
          <w:szCs w:val="24"/>
        </w:rPr>
      </w:pPr>
      <w:r w:rsidRPr="00A41958">
        <w:rPr>
          <w:rFonts w:ascii="Arial" w:eastAsia="Calibri" w:hAnsi="Arial" w:cs="Arial"/>
          <w:sz w:val="24"/>
          <w:szCs w:val="24"/>
        </w:rPr>
        <w:t>After the landlord launched proceedings, a judge found that the break clause had not been validly exercised and that the lease therefore continued in force. The building having been left in a dysfunctional and unlettable state, the premises handed back by the tenant were considerably less than the premises defined in the lease. The stripped-out condition of the building posed a major impediment to the landlord</w:t>
      </w:r>
      <w:r w:rsidR="00707F1F">
        <w:rPr>
          <w:rFonts w:ascii="Arial" w:eastAsia="Calibri" w:hAnsi="Arial" w:cs="Arial"/>
          <w:sz w:val="24"/>
          <w:szCs w:val="24"/>
        </w:rPr>
        <w:t>'</w:t>
      </w:r>
      <w:r w:rsidRPr="00A41958">
        <w:rPr>
          <w:rFonts w:ascii="Arial" w:eastAsia="Calibri" w:hAnsi="Arial" w:cs="Arial"/>
          <w:sz w:val="24"/>
          <w:szCs w:val="24"/>
        </w:rPr>
        <w:t>s use of the premises and the tenant could not, therefore, be said to have given up vacant possession.</w:t>
      </w:r>
    </w:p>
    <w:p w14:paraId="3C1CB88A" w14:textId="6C618981" w:rsidR="00A41958" w:rsidRPr="00A41958" w:rsidRDefault="00A41958" w:rsidP="00A41958">
      <w:pPr>
        <w:spacing w:before="100" w:beforeAutospacing="1" w:after="100" w:afterAutospacing="1"/>
        <w:rPr>
          <w:rFonts w:ascii="Arial" w:eastAsia="Calibri" w:hAnsi="Arial" w:cs="Arial"/>
          <w:sz w:val="24"/>
          <w:szCs w:val="24"/>
        </w:rPr>
      </w:pPr>
      <w:r w:rsidRPr="00A41958">
        <w:rPr>
          <w:rFonts w:ascii="Arial" w:eastAsia="Calibri" w:hAnsi="Arial" w:cs="Arial"/>
          <w:sz w:val="24"/>
          <w:szCs w:val="24"/>
        </w:rPr>
        <w:t>In upholding the tenant</w:t>
      </w:r>
      <w:r w:rsidR="00707F1F">
        <w:rPr>
          <w:rFonts w:ascii="Arial" w:eastAsia="Calibri" w:hAnsi="Arial" w:cs="Arial"/>
          <w:sz w:val="24"/>
          <w:szCs w:val="24"/>
        </w:rPr>
        <w:t>'</w:t>
      </w:r>
      <w:r w:rsidRPr="00A41958">
        <w:rPr>
          <w:rFonts w:ascii="Arial" w:eastAsia="Calibri" w:hAnsi="Arial" w:cs="Arial"/>
          <w:sz w:val="24"/>
          <w:szCs w:val="24"/>
        </w:rPr>
        <w:t>s appeal against that outcome, the Court found that the landlord</w:t>
      </w:r>
      <w:r w:rsidR="00707F1F">
        <w:rPr>
          <w:rFonts w:ascii="Arial" w:eastAsia="Calibri" w:hAnsi="Arial" w:cs="Arial"/>
          <w:sz w:val="24"/>
          <w:szCs w:val="24"/>
        </w:rPr>
        <w:t>'</w:t>
      </w:r>
      <w:r w:rsidRPr="00A41958">
        <w:rPr>
          <w:rFonts w:ascii="Arial" w:eastAsia="Calibri" w:hAnsi="Arial" w:cs="Arial"/>
          <w:sz w:val="24"/>
          <w:szCs w:val="24"/>
        </w:rPr>
        <w:t xml:space="preserve">s interpretation of the break clause had implications that the parties were unlikely to have intended and </w:t>
      </w:r>
      <w:r w:rsidR="00861ACA">
        <w:rPr>
          <w:rFonts w:ascii="Arial" w:eastAsia="Calibri" w:hAnsi="Arial" w:cs="Arial"/>
          <w:sz w:val="24"/>
          <w:szCs w:val="24"/>
        </w:rPr>
        <w:t>that</w:t>
      </w:r>
      <w:r w:rsidR="00861ACA" w:rsidRPr="00A41958">
        <w:rPr>
          <w:rFonts w:ascii="Arial" w:eastAsia="Calibri" w:hAnsi="Arial" w:cs="Arial"/>
          <w:sz w:val="24"/>
          <w:szCs w:val="24"/>
        </w:rPr>
        <w:t xml:space="preserve"> </w:t>
      </w:r>
      <w:r w:rsidRPr="00A41958">
        <w:rPr>
          <w:rFonts w:ascii="Arial" w:eastAsia="Calibri" w:hAnsi="Arial" w:cs="Arial"/>
          <w:sz w:val="24"/>
          <w:szCs w:val="24"/>
        </w:rPr>
        <w:t>ran counter to business common sense. A situation would arise where the tenant would be able to validly terminate the lease if it handed back the premises in a dreadful state of repair, but not if a more than minimal number of ceiling tiles or other original features were missing, regardless of whether the deficiency was the tenant</w:t>
      </w:r>
      <w:r w:rsidR="00707F1F">
        <w:rPr>
          <w:rFonts w:ascii="Arial" w:eastAsia="Calibri" w:hAnsi="Arial" w:cs="Arial"/>
          <w:sz w:val="24"/>
          <w:szCs w:val="24"/>
        </w:rPr>
        <w:t>'</w:t>
      </w:r>
      <w:r w:rsidRPr="00A41958">
        <w:rPr>
          <w:rFonts w:ascii="Arial" w:eastAsia="Calibri" w:hAnsi="Arial" w:cs="Arial"/>
          <w:sz w:val="24"/>
          <w:szCs w:val="24"/>
        </w:rPr>
        <w:t>s fault.</w:t>
      </w:r>
    </w:p>
    <w:p w14:paraId="34E061D9" w14:textId="21835521" w:rsidR="00A41958" w:rsidRPr="00A41958" w:rsidRDefault="00A41958" w:rsidP="00A41958">
      <w:pPr>
        <w:spacing w:before="100" w:beforeAutospacing="1" w:after="100" w:afterAutospacing="1"/>
        <w:rPr>
          <w:rFonts w:ascii="Arial" w:eastAsia="Calibri" w:hAnsi="Arial" w:cs="Arial"/>
          <w:sz w:val="24"/>
          <w:szCs w:val="24"/>
        </w:rPr>
      </w:pPr>
      <w:r w:rsidRPr="00A41958">
        <w:rPr>
          <w:rFonts w:ascii="Arial" w:eastAsia="Calibri" w:hAnsi="Arial" w:cs="Arial"/>
          <w:sz w:val="24"/>
          <w:szCs w:val="24"/>
        </w:rPr>
        <w:t>The landlord argued that, if the tenant</w:t>
      </w:r>
      <w:r w:rsidR="00707F1F">
        <w:rPr>
          <w:rFonts w:ascii="Arial" w:eastAsia="Calibri" w:hAnsi="Arial" w:cs="Arial"/>
          <w:sz w:val="24"/>
          <w:szCs w:val="24"/>
        </w:rPr>
        <w:t>'</w:t>
      </w:r>
      <w:r w:rsidRPr="00A41958">
        <w:rPr>
          <w:rFonts w:ascii="Arial" w:eastAsia="Calibri" w:hAnsi="Arial" w:cs="Arial"/>
          <w:sz w:val="24"/>
          <w:szCs w:val="24"/>
        </w:rPr>
        <w:t xml:space="preserve">s interpretation were correct, it would have been able to exercise the break clause if it had demolished the building altogether, leaving a bare patch of earth. The Court, however, noted the improbability of such a </w:t>
      </w:r>
      <w:r w:rsidRPr="00A41958">
        <w:rPr>
          <w:rFonts w:ascii="Arial" w:eastAsia="Calibri" w:hAnsi="Arial" w:cs="Arial"/>
          <w:sz w:val="24"/>
          <w:szCs w:val="24"/>
        </w:rPr>
        <w:lastRenderedPageBreak/>
        <w:t>scenario. The tenant had validly exercised the break clause in that it had, in accordance with the lease, handed the premises back to the landlord free of people, chattels and third-party interests.</w:t>
      </w:r>
    </w:p>
    <w:p w14:paraId="1F1681E6" w14:textId="5E110222" w:rsidR="00A41958" w:rsidRDefault="00A41958" w:rsidP="00A41958">
      <w:pPr>
        <w:spacing w:before="100" w:beforeAutospacing="1" w:after="100" w:afterAutospacing="1"/>
        <w:rPr>
          <w:rFonts w:ascii="Arial" w:eastAsia="Calibri" w:hAnsi="Arial" w:cs="Arial"/>
          <w:sz w:val="24"/>
          <w:szCs w:val="24"/>
        </w:rPr>
      </w:pPr>
      <w:r w:rsidRPr="00A41958">
        <w:rPr>
          <w:rFonts w:ascii="Arial" w:eastAsia="Calibri" w:hAnsi="Arial" w:cs="Arial"/>
          <w:sz w:val="24"/>
          <w:szCs w:val="24"/>
        </w:rPr>
        <w:t>After ruling that the lease had terminated on service of the break notice, the Court noted that the landlord was not left without a remedy. If it could establish that the tenant had, by stripping out the premises, breached repair or other covenants in the lease, it would be entitled to compensation.</w:t>
      </w:r>
    </w:p>
    <w:p w14:paraId="216886B3" w14:textId="1225A8CF" w:rsidR="00290B7B" w:rsidRPr="00241BBC" w:rsidRDefault="00290B7B" w:rsidP="00290B7B">
      <w:pPr>
        <w:spacing w:before="100" w:beforeAutospacing="1" w:after="100" w:afterAutospacing="1"/>
        <w:rPr>
          <w:rFonts w:ascii="Arial" w:eastAsia="Calibri" w:hAnsi="Arial" w:cs="Arial"/>
          <w:sz w:val="24"/>
          <w:szCs w:val="24"/>
        </w:rPr>
      </w:pPr>
      <w:r w:rsidRPr="00241BBC">
        <w:rPr>
          <w:rFonts w:ascii="Arial" w:eastAsia="Calibri" w:hAnsi="Arial" w:cs="Arial"/>
          <w:sz w:val="24"/>
          <w:szCs w:val="24"/>
        </w:rPr>
        <w:t xml:space="preserve">Our specialist lawyers can advise you on matters involving </w:t>
      </w:r>
      <w:r>
        <w:rPr>
          <w:rFonts w:ascii="Arial" w:eastAsia="Calibri" w:hAnsi="Arial" w:cs="Arial"/>
          <w:sz w:val="24"/>
          <w:szCs w:val="24"/>
        </w:rPr>
        <w:t xml:space="preserve">commercial leases. </w:t>
      </w:r>
      <w:r w:rsidRPr="00241BBC">
        <w:rPr>
          <w:rFonts w:ascii="Arial" w:eastAsia="Calibri" w:hAnsi="Arial" w:cs="Arial"/>
          <w:sz w:val="24"/>
          <w:szCs w:val="24"/>
        </w:rPr>
        <w:t>Contact us for guidance.</w:t>
      </w:r>
    </w:p>
    <w:p w14:paraId="3D8213A5" w14:textId="77777777" w:rsidR="00A41958" w:rsidRPr="00A41958" w:rsidRDefault="00A41958" w:rsidP="00A41958">
      <w:pPr>
        <w:rPr>
          <w:rFonts w:ascii="Arial" w:eastAsia="Calibri" w:hAnsi="Arial" w:cs="Arial"/>
          <w:b/>
          <w:bCs/>
          <w:sz w:val="24"/>
          <w:szCs w:val="24"/>
        </w:rPr>
      </w:pPr>
      <w:r w:rsidRPr="00A41958">
        <w:rPr>
          <w:rFonts w:ascii="Arial" w:eastAsia="Calibri" w:hAnsi="Arial" w:cs="Arial"/>
          <w:b/>
          <w:bCs/>
          <w:sz w:val="24"/>
          <w:szCs w:val="24"/>
        </w:rPr>
        <w:t>Partner Note</w:t>
      </w:r>
    </w:p>
    <w:p w14:paraId="42387888" w14:textId="0FA41AC9" w:rsidR="00A41958" w:rsidRPr="00A41958" w:rsidRDefault="00A41958" w:rsidP="00A41958">
      <w:pPr>
        <w:rPr>
          <w:rFonts w:ascii="Arial" w:eastAsia="Calibri" w:hAnsi="Arial" w:cs="Arial"/>
          <w:sz w:val="24"/>
          <w:szCs w:val="24"/>
        </w:rPr>
      </w:pPr>
      <w:r w:rsidRPr="00A41958">
        <w:rPr>
          <w:rFonts w:ascii="Arial" w:eastAsia="Calibri" w:hAnsi="Arial" w:cs="Arial"/>
          <w:sz w:val="24"/>
          <w:szCs w:val="24"/>
        </w:rPr>
        <w:t xml:space="preserve">Capitol Park Leeds </w:t>
      </w:r>
      <w:r w:rsidR="008C3F3B">
        <w:rPr>
          <w:rFonts w:ascii="Arial" w:eastAsia="Calibri" w:hAnsi="Arial" w:cs="Arial"/>
          <w:sz w:val="24"/>
          <w:szCs w:val="24"/>
        </w:rPr>
        <w:t>Plc</w:t>
      </w:r>
      <w:r w:rsidRPr="00A41958">
        <w:rPr>
          <w:rFonts w:ascii="Arial" w:eastAsia="Calibri" w:hAnsi="Arial" w:cs="Arial"/>
          <w:sz w:val="24"/>
          <w:szCs w:val="24"/>
        </w:rPr>
        <w:t xml:space="preserve"> and Another v Global Radio Services Ltd [2021] EWCA </w:t>
      </w:r>
      <w:proofErr w:type="spellStart"/>
      <w:r w:rsidRPr="00A41958">
        <w:rPr>
          <w:rFonts w:ascii="Arial" w:eastAsia="Calibri" w:hAnsi="Arial" w:cs="Arial"/>
          <w:sz w:val="24"/>
          <w:szCs w:val="24"/>
        </w:rPr>
        <w:t>Civ</w:t>
      </w:r>
      <w:proofErr w:type="spellEnd"/>
      <w:r w:rsidRPr="00A41958">
        <w:rPr>
          <w:rFonts w:ascii="Arial" w:eastAsia="Calibri" w:hAnsi="Arial" w:cs="Arial"/>
          <w:sz w:val="24"/>
          <w:szCs w:val="24"/>
        </w:rPr>
        <w:t xml:space="preserve"> 995</w:t>
      </w:r>
    </w:p>
    <w:p w14:paraId="2C5B1098" w14:textId="27C58474" w:rsidR="000F1B28" w:rsidRDefault="00811703" w:rsidP="00024C96">
      <w:pPr>
        <w:spacing w:before="100" w:beforeAutospacing="1" w:after="100" w:afterAutospacing="1"/>
        <w:rPr>
          <w:rFonts w:ascii="Arial" w:hAnsi="Arial" w:cs="Arial"/>
          <w:sz w:val="28"/>
          <w:szCs w:val="28"/>
        </w:rPr>
      </w:pPr>
      <w:bookmarkStart w:id="5" w:name="_Hlk20122093"/>
      <w:r w:rsidRPr="006531BC">
        <w:rPr>
          <w:rFonts w:ascii="Arial" w:hAnsi="Arial" w:cs="Arial"/>
          <w:sz w:val="28"/>
          <w:szCs w:val="28"/>
        </w:rPr>
        <w:t>T</w:t>
      </w:r>
      <w:bookmarkEnd w:id="5"/>
      <w:r w:rsidRPr="006531BC">
        <w:rPr>
          <w:rFonts w:ascii="Arial" w:hAnsi="Arial" w:cs="Arial"/>
          <w:sz w:val="28"/>
          <w:szCs w:val="28"/>
        </w:rPr>
        <w:t>ax</w:t>
      </w:r>
      <w:bookmarkStart w:id="6" w:name="_Hlk20148418"/>
    </w:p>
    <w:p w14:paraId="231957D8" w14:textId="77777777" w:rsidR="00892D85" w:rsidRPr="00892D85" w:rsidRDefault="00892D85" w:rsidP="00892D85">
      <w:pPr>
        <w:spacing w:before="100" w:beforeAutospacing="1" w:after="100" w:afterAutospacing="1"/>
        <w:rPr>
          <w:rFonts w:ascii="Arial" w:eastAsia="Calibri" w:hAnsi="Arial" w:cs="Arial"/>
          <w:b/>
          <w:bCs/>
          <w:sz w:val="24"/>
          <w:szCs w:val="24"/>
        </w:rPr>
      </w:pPr>
      <w:r w:rsidRPr="00892D85">
        <w:rPr>
          <w:rFonts w:ascii="Arial" w:eastAsia="Calibri" w:hAnsi="Arial" w:cs="Arial"/>
          <w:b/>
          <w:bCs/>
          <w:sz w:val="24"/>
          <w:szCs w:val="24"/>
        </w:rPr>
        <w:t>Chinese Restaurant Sees Off Tax Authorities in Takings Suppression Dispute</w:t>
      </w:r>
    </w:p>
    <w:p w14:paraId="1E4BB03E" w14:textId="12F7FD94"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 xml:space="preserve">HM Revenue and Customs (HMRC) officers wield great power but are not immune from error and, with the right legal advice, their decisions can </w:t>
      </w:r>
      <w:r w:rsidR="00861ACA">
        <w:rPr>
          <w:rFonts w:ascii="Arial" w:eastAsia="Calibri" w:hAnsi="Arial" w:cs="Arial"/>
          <w:sz w:val="24"/>
          <w:szCs w:val="24"/>
        </w:rPr>
        <w:t xml:space="preserve">sometimes </w:t>
      </w:r>
      <w:r w:rsidRPr="00892D85">
        <w:rPr>
          <w:rFonts w:ascii="Arial" w:eastAsia="Calibri" w:hAnsi="Arial" w:cs="Arial"/>
          <w:sz w:val="24"/>
          <w:szCs w:val="24"/>
        </w:rPr>
        <w:t xml:space="preserve">be overturned. In one case, a Chinese restaurant accused of systematically under-declaring its takings was exonerated by </w:t>
      </w:r>
      <w:r w:rsidR="00BE75A6">
        <w:rPr>
          <w:rFonts w:ascii="Arial" w:eastAsia="Calibri" w:hAnsi="Arial" w:cs="Arial"/>
          <w:sz w:val="24"/>
          <w:szCs w:val="24"/>
        </w:rPr>
        <w:t>the First-tier T</w:t>
      </w:r>
      <w:r w:rsidRPr="00892D85">
        <w:rPr>
          <w:rFonts w:ascii="Arial" w:eastAsia="Calibri" w:hAnsi="Arial" w:cs="Arial"/>
          <w:sz w:val="24"/>
          <w:szCs w:val="24"/>
        </w:rPr>
        <w:t>ribunal</w:t>
      </w:r>
      <w:r w:rsidR="00BE75A6">
        <w:rPr>
          <w:rFonts w:ascii="Arial" w:eastAsia="Calibri" w:hAnsi="Arial" w:cs="Arial"/>
          <w:sz w:val="24"/>
          <w:szCs w:val="24"/>
        </w:rPr>
        <w:t xml:space="preserve"> (FTT)</w:t>
      </w:r>
      <w:r w:rsidRPr="00892D85">
        <w:rPr>
          <w:rFonts w:ascii="Arial" w:eastAsia="Calibri" w:hAnsi="Arial" w:cs="Arial"/>
          <w:sz w:val="24"/>
          <w:szCs w:val="24"/>
        </w:rPr>
        <w:t xml:space="preserve"> – and relieved of bills totalling almost £200,000.</w:t>
      </w:r>
    </w:p>
    <w:p w14:paraId="58B50BE5" w14:textId="40E70943"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The restaurant was the subject of unannounced visits from HMRC officers on two Friday nights. Following analysis of till records and other material, HMRC concluded that the restaurant</w:t>
      </w:r>
      <w:r w:rsidR="00707F1F">
        <w:rPr>
          <w:rFonts w:ascii="Arial" w:eastAsia="Calibri" w:hAnsi="Arial" w:cs="Arial"/>
          <w:sz w:val="24"/>
          <w:szCs w:val="24"/>
        </w:rPr>
        <w:t>'</w:t>
      </w:r>
      <w:r w:rsidRPr="00892D85">
        <w:rPr>
          <w:rFonts w:ascii="Arial" w:eastAsia="Calibri" w:hAnsi="Arial" w:cs="Arial"/>
          <w:sz w:val="24"/>
          <w:szCs w:val="24"/>
        </w:rPr>
        <w:t>s takings had been under-declared over a period of about three years. Demands for payment of additional VAT and Corporation Tax were raised totalling £105,111. On the basis that the under-declarations were deliberate and concealed, penalties totalling £94,340 were also imposed.</w:t>
      </w:r>
    </w:p>
    <w:p w14:paraId="34963412" w14:textId="4EC7E284"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 xml:space="preserve">In upholding an appeal brought by the company that ran the restaurant, the </w:t>
      </w:r>
      <w:r w:rsidR="00BE75A6">
        <w:rPr>
          <w:rFonts w:ascii="Arial" w:eastAsia="Calibri" w:hAnsi="Arial" w:cs="Arial"/>
          <w:sz w:val="24"/>
          <w:szCs w:val="24"/>
        </w:rPr>
        <w:t>FTT</w:t>
      </w:r>
      <w:r w:rsidRPr="00892D85">
        <w:rPr>
          <w:rFonts w:ascii="Arial" w:eastAsia="Calibri" w:hAnsi="Arial" w:cs="Arial"/>
          <w:sz w:val="24"/>
          <w:szCs w:val="24"/>
        </w:rPr>
        <w:t xml:space="preserve"> noted arguments that the relevant Friday nights, one of which marked Chinese New Year, were unusually busy and were not representative of the restaurant</w:t>
      </w:r>
      <w:r w:rsidR="00707F1F">
        <w:rPr>
          <w:rFonts w:ascii="Arial" w:eastAsia="Calibri" w:hAnsi="Arial" w:cs="Arial"/>
          <w:sz w:val="24"/>
          <w:szCs w:val="24"/>
        </w:rPr>
        <w:t>'</w:t>
      </w:r>
      <w:r w:rsidRPr="00892D85">
        <w:rPr>
          <w:rFonts w:ascii="Arial" w:eastAsia="Calibri" w:hAnsi="Arial" w:cs="Arial"/>
          <w:sz w:val="24"/>
          <w:szCs w:val="24"/>
        </w:rPr>
        <w:t>s typical takings.</w:t>
      </w:r>
    </w:p>
    <w:p w14:paraId="01587541" w14:textId="6549D44B"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The evidence was hardly consistent with an organised attempt to conceal sales and there was no coherent basis for officers</w:t>
      </w:r>
      <w:r w:rsidR="00707F1F">
        <w:rPr>
          <w:rFonts w:ascii="Arial" w:eastAsia="Calibri" w:hAnsi="Arial" w:cs="Arial"/>
          <w:sz w:val="24"/>
          <w:szCs w:val="24"/>
        </w:rPr>
        <w:t>'</w:t>
      </w:r>
      <w:r w:rsidRPr="00892D85">
        <w:rPr>
          <w:rFonts w:ascii="Arial" w:eastAsia="Calibri" w:hAnsi="Arial" w:cs="Arial"/>
          <w:sz w:val="24"/>
          <w:szCs w:val="24"/>
        </w:rPr>
        <w:t xml:space="preserve"> arbitrary assumption that the restaurant</w:t>
      </w:r>
      <w:r w:rsidR="00707F1F">
        <w:rPr>
          <w:rFonts w:ascii="Arial" w:eastAsia="Calibri" w:hAnsi="Arial" w:cs="Arial"/>
          <w:sz w:val="24"/>
          <w:szCs w:val="24"/>
        </w:rPr>
        <w:t>'</w:t>
      </w:r>
      <w:r w:rsidRPr="00892D85">
        <w:rPr>
          <w:rFonts w:ascii="Arial" w:eastAsia="Calibri" w:hAnsi="Arial" w:cs="Arial"/>
          <w:sz w:val="24"/>
          <w:szCs w:val="24"/>
        </w:rPr>
        <w:t xml:space="preserve">s turnover had been suppressed. The </w:t>
      </w:r>
      <w:r w:rsidR="00BE75A6" w:rsidRPr="00892D85">
        <w:rPr>
          <w:rFonts w:ascii="Arial" w:eastAsia="Calibri" w:hAnsi="Arial" w:cs="Arial"/>
          <w:sz w:val="24"/>
          <w:szCs w:val="24"/>
        </w:rPr>
        <w:t>above</w:t>
      </w:r>
      <w:r w:rsidR="00BE75A6">
        <w:rPr>
          <w:rFonts w:ascii="Arial" w:eastAsia="Calibri" w:hAnsi="Arial" w:cs="Arial"/>
          <w:sz w:val="24"/>
          <w:szCs w:val="24"/>
        </w:rPr>
        <w:t>-</w:t>
      </w:r>
      <w:r w:rsidRPr="00892D85">
        <w:rPr>
          <w:rFonts w:ascii="Arial" w:eastAsia="Calibri" w:hAnsi="Arial" w:cs="Arial"/>
          <w:sz w:val="24"/>
          <w:szCs w:val="24"/>
        </w:rPr>
        <w:t>average takings on the Friday nights in question could just as readily be explained by random fluctuations as by systematic suppression.</w:t>
      </w:r>
    </w:p>
    <w:p w14:paraId="3996E281" w14:textId="7459FE1D" w:rsid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HMRC had simply assumed the worst and the lack of primary evidence of takings suppression added to a general impression of the slight carelessness with which the whole case had been conducted. The tax demands and penalties were overturned in their entirety.</w:t>
      </w:r>
    </w:p>
    <w:p w14:paraId="3B769DFD" w14:textId="136B6EE8"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lastRenderedPageBreak/>
        <w:t>If you are embroiled in a legal dispute with the tax authorities, our specialist lawyers can advise you.</w:t>
      </w:r>
    </w:p>
    <w:p w14:paraId="6C7C48ED" w14:textId="77777777" w:rsidR="00892D85" w:rsidRPr="00892D85" w:rsidRDefault="00892D85" w:rsidP="00892D85">
      <w:pPr>
        <w:rPr>
          <w:rFonts w:ascii="Arial" w:eastAsia="Calibri" w:hAnsi="Arial" w:cs="Arial"/>
          <w:b/>
          <w:bCs/>
          <w:sz w:val="24"/>
          <w:szCs w:val="24"/>
        </w:rPr>
      </w:pPr>
      <w:r w:rsidRPr="00892D85">
        <w:rPr>
          <w:rFonts w:ascii="Arial" w:eastAsia="Calibri" w:hAnsi="Arial" w:cs="Arial"/>
          <w:b/>
          <w:bCs/>
          <w:sz w:val="24"/>
          <w:szCs w:val="24"/>
        </w:rPr>
        <w:t>Partner Note</w:t>
      </w:r>
    </w:p>
    <w:p w14:paraId="77069E23" w14:textId="1249AC27" w:rsidR="00892D85" w:rsidRPr="00892D85" w:rsidRDefault="00892D85" w:rsidP="00892D85">
      <w:pPr>
        <w:rPr>
          <w:rFonts w:ascii="Arial" w:eastAsia="Calibri" w:hAnsi="Arial" w:cs="Arial"/>
          <w:sz w:val="24"/>
          <w:szCs w:val="24"/>
        </w:rPr>
      </w:pPr>
      <w:r w:rsidRPr="00892D85">
        <w:rPr>
          <w:rFonts w:ascii="Arial" w:eastAsia="Calibri" w:hAnsi="Arial" w:cs="Arial"/>
          <w:sz w:val="24"/>
          <w:szCs w:val="24"/>
        </w:rPr>
        <w:t>Kong</w:t>
      </w:r>
      <w:r w:rsidR="00707F1F">
        <w:rPr>
          <w:rFonts w:ascii="Arial" w:eastAsia="Calibri" w:hAnsi="Arial" w:cs="Arial"/>
          <w:sz w:val="24"/>
          <w:szCs w:val="24"/>
        </w:rPr>
        <w:t>'</w:t>
      </w:r>
      <w:r w:rsidRPr="00892D85">
        <w:rPr>
          <w:rFonts w:ascii="Arial" w:eastAsia="Calibri" w:hAnsi="Arial" w:cs="Arial"/>
          <w:sz w:val="24"/>
          <w:szCs w:val="24"/>
        </w:rPr>
        <w:t>s Restaurant Ltd v The Commissioners for Her Majesty</w:t>
      </w:r>
      <w:r w:rsidR="00707F1F">
        <w:rPr>
          <w:rFonts w:ascii="Arial" w:eastAsia="Calibri" w:hAnsi="Arial" w:cs="Arial"/>
          <w:sz w:val="24"/>
          <w:szCs w:val="24"/>
        </w:rPr>
        <w:t>'</w:t>
      </w:r>
      <w:r w:rsidRPr="00892D85">
        <w:rPr>
          <w:rFonts w:ascii="Arial" w:eastAsia="Calibri" w:hAnsi="Arial" w:cs="Arial"/>
          <w:sz w:val="24"/>
          <w:szCs w:val="24"/>
        </w:rPr>
        <w:t>s Revenue and Customs [2021] UKFTT 220 (TC)</w:t>
      </w:r>
    </w:p>
    <w:p w14:paraId="4CD5CEA0" w14:textId="5C8E52CA" w:rsidR="00646E8D" w:rsidRDefault="00646E8D" w:rsidP="00646E8D">
      <w:pPr>
        <w:spacing w:before="100" w:beforeAutospacing="1" w:after="100" w:afterAutospacing="1"/>
        <w:rPr>
          <w:rFonts w:ascii="Arial" w:hAnsi="Arial" w:cs="Arial"/>
          <w:sz w:val="28"/>
          <w:szCs w:val="28"/>
        </w:rPr>
      </w:pPr>
      <w:r w:rsidRPr="00252D58">
        <w:rPr>
          <w:rFonts w:ascii="Arial" w:hAnsi="Arial" w:cs="Arial"/>
          <w:sz w:val="28"/>
          <w:szCs w:val="28"/>
        </w:rPr>
        <w:t>Co</w:t>
      </w:r>
      <w:r>
        <w:rPr>
          <w:rFonts w:ascii="Arial" w:hAnsi="Arial" w:cs="Arial"/>
          <w:sz w:val="28"/>
          <w:szCs w:val="28"/>
        </w:rPr>
        <w:t>mmercial Litigation</w:t>
      </w:r>
    </w:p>
    <w:p w14:paraId="1C9D8E7F" w14:textId="77777777" w:rsidR="00892D85" w:rsidRPr="00892D85" w:rsidRDefault="00892D85" w:rsidP="00892D85">
      <w:pPr>
        <w:spacing w:before="100" w:beforeAutospacing="1" w:after="100" w:afterAutospacing="1"/>
        <w:rPr>
          <w:rFonts w:ascii="Arial" w:eastAsia="Calibri" w:hAnsi="Arial" w:cs="Arial"/>
          <w:b/>
          <w:bCs/>
          <w:sz w:val="24"/>
          <w:szCs w:val="24"/>
        </w:rPr>
      </w:pPr>
      <w:r w:rsidRPr="00892D85">
        <w:rPr>
          <w:rFonts w:ascii="Arial" w:eastAsia="Calibri" w:hAnsi="Arial" w:cs="Arial"/>
          <w:b/>
          <w:bCs/>
          <w:sz w:val="24"/>
          <w:szCs w:val="24"/>
        </w:rPr>
        <w:t>Maker of Defective Axle Seals Ordered to Pay Over £11 Million in Damages</w:t>
      </w:r>
    </w:p>
    <w:p w14:paraId="63706FA8" w14:textId="77777777"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Save where agreed otherwise, goods supplied under contract must generally be both fit for purpose and of satisfactory quality. In one case, polymer seals used in the car manufacturing industry failed to match up to that standard and the company that made them was ordered to pay more than £11 million in damages.</w:t>
      </w:r>
    </w:p>
    <w:p w14:paraId="6B7871D8" w14:textId="77777777"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The company supplied seals to a client who made and fitted axles for a major vehicle manufacturer. They were designed to prevent oil leaks and to minimise ingress of dirt and other external contaminants. Over a period of about two and a half years, their premature failure rate was many times higher than the industry norm. The client responded by launching proceedings, alleging breach of contract.</w:t>
      </w:r>
    </w:p>
    <w:p w14:paraId="06B4684E" w14:textId="77777777"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In upholding the claim, the High Court found that seals provided over the relevant period were of unsatisfactory quality and not fit for the purpose for which they were commonly used. They also fell short of the durability requirement contained in Section 14(2</w:t>
      </w:r>
      <w:proofErr w:type="gramStart"/>
      <w:r w:rsidRPr="00892D85">
        <w:rPr>
          <w:rFonts w:ascii="Arial" w:eastAsia="Calibri" w:hAnsi="Arial" w:cs="Arial"/>
          <w:sz w:val="24"/>
          <w:szCs w:val="24"/>
        </w:rPr>
        <w:t>B)(</w:t>
      </w:r>
      <w:proofErr w:type="gramEnd"/>
      <w:r w:rsidRPr="00892D85">
        <w:rPr>
          <w:rFonts w:ascii="Arial" w:eastAsia="Calibri" w:hAnsi="Arial" w:cs="Arial"/>
          <w:sz w:val="24"/>
          <w:szCs w:val="24"/>
        </w:rPr>
        <w:t>e) of the Sale of Goods Act 1979.</w:t>
      </w:r>
    </w:p>
    <w:p w14:paraId="52121D20" w14:textId="5C622221" w:rsid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As a result of the seals</w:t>
      </w:r>
      <w:r w:rsidR="00707F1F">
        <w:rPr>
          <w:rFonts w:ascii="Arial" w:eastAsia="Calibri" w:hAnsi="Arial" w:cs="Arial"/>
          <w:sz w:val="24"/>
          <w:szCs w:val="24"/>
        </w:rPr>
        <w:t>'</w:t>
      </w:r>
      <w:r w:rsidRPr="00892D85">
        <w:rPr>
          <w:rFonts w:ascii="Arial" w:eastAsia="Calibri" w:hAnsi="Arial" w:cs="Arial"/>
          <w:sz w:val="24"/>
          <w:szCs w:val="24"/>
        </w:rPr>
        <w:t xml:space="preserve"> premature failure, the client was obliged to reimburse the vehicle manufacturer for its repair costs. The company was ordered to pay the client £11,243,026 in damages and to indemnify </w:t>
      </w:r>
      <w:r w:rsidR="00BE75A6">
        <w:rPr>
          <w:rFonts w:ascii="Arial" w:eastAsia="Calibri" w:hAnsi="Arial" w:cs="Arial"/>
          <w:sz w:val="24"/>
          <w:szCs w:val="24"/>
        </w:rPr>
        <w:t>it</w:t>
      </w:r>
      <w:r w:rsidR="00BE75A6" w:rsidRPr="00892D85">
        <w:rPr>
          <w:rFonts w:ascii="Arial" w:eastAsia="Calibri" w:hAnsi="Arial" w:cs="Arial"/>
          <w:sz w:val="24"/>
          <w:szCs w:val="24"/>
        </w:rPr>
        <w:t xml:space="preserve"> </w:t>
      </w:r>
      <w:r w:rsidRPr="00892D85">
        <w:rPr>
          <w:rFonts w:ascii="Arial" w:eastAsia="Calibri" w:hAnsi="Arial" w:cs="Arial"/>
          <w:sz w:val="24"/>
          <w:szCs w:val="24"/>
        </w:rPr>
        <w:t>against any further losses arising from defective seals manufactured during the relevant period.</w:t>
      </w:r>
    </w:p>
    <w:p w14:paraId="487FCA39" w14:textId="77777777" w:rsidR="00892D85" w:rsidRPr="00000C8C" w:rsidRDefault="00892D85" w:rsidP="00892D85">
      <w:pPr>
        <w:spacing w:before="100" w:beforeAutospacing="1" w:after="100" w:afterAutospacing="1"/>
        <w:rPr>
          <w:rFonts w:ascii="Arial" w:eastAsia="Calibri" w:hAnsi="Arial" w:cs="Arial"/>
          <w:sz w:val="24"/>
          <w:szCs w:val="24"/>
        </w:rPr>
      </w:pPr>
      <w:r w:rsidRPr="00920595">
        <w:rPr>
          <w:rFonts w:ascii="Arial" w:eastAsia="Calibri" w:hAnsi="Arial" w:cs="Arial"/>
          <w:sz w:val="24"/>
          <w:szCs w:val="24"/>
        </w:rPr>
        <w:t xml:space="preserve">Says </w:t>
      </w:r>
      <w:bookmarkStart w:id="7" w:name="_Hlk78532541"/>
      <w:r w:rsidRPr="00920595">
        <w:rPr>
          <w:rFonts w:ascii="Arial" w:eastAsia="Calibri" w:hAnsi="Arial" w:cs="Arial"/>
          <w:color w:val="FF0000"/>
          <w:sz w:val="24"/>
          <w:szCs w:val="24"/>
        </w:rPr>
        <w:t>&lt;&lt;CONTACT DETAILS&gt;&gt;</w:t>
      </w:r>
      <w:bookmarkEnd w:id="7"/>
      <w:r w:rsidRPr="00920595">
        <w:rPr>
          <w:rFonts w:ascii="Arial" w:eastAsia="Calibri" w:hAnsi="Arial" w:cs="Arial"/>
          <w:sz w:val="24"/>
          <w:szCs w:val="24"/>
        </w:rPr>
        <w:t>, "Expert legal advice is essential in all litigation. Preparing the best possible evidential support is vital, as is compliance with the rules of litigation practice."</w:t>
      </w:r>
    </w:p>
    <w:p w14:paraId="1BF43596" w14:textId="77777777" w:rsidR="00892D85" w:rsidRPr="00892D85" w:rsidRDefault="00892D85" w:rsidP="00892D85">
      <w:pPr>
        <w:rPr>
          <w:rFonts w:ascii="Arial" w:eastAsia="Calibri" w:hAnsi="Arial" w:cs="Arial"/>
          <w:b/>
          <w:bCs/>
          <w:sz w:val="24"/>
          <w:szCs w:val="24"/>
        </w:rPr>
      </w:pPr>
      <w:r w:rsidRPr="00892D85">
        <w:rPr>
          <w:rFonts w:ascii="Arial" w:eastAsia="Calibri" w:hAnsi="Arial" w:cs="Arial"/>
          <w:b/>
          <w:bCs/>
          <w:sz w:val="24"/>
          <w:szCs w:val="24"/>
        </w:rPr>
        <w:t>Partner Note</w:t>
      </w:r>
    </w:p>
    <w:p w14:paraId="02B8709F" w14:textId="25A4586E" w:rsidR="00892D85" w:rsidRPr="00892D85" w:rsidRDefault="00892D85" w:rsidP="00892D85">
      <w:pPr>
        <w:rPr>
          <w:rFonts w:ascii="Arial" w:eastAsia="Calibri" w:hAnsi="Arial" w:cs="Arial"/>
          <w:sz w:val="24"/>
          <w:szCs w:val="24"/>
        </w:rPr>
      </w:pPr>
      <w:r w:rsidRPr="00892D85">
        <w:rPr>
          <w:rFonts w:ascii="Arial" w:eastAsia="Calibri" w:hAnsi="Arial" w:cs="Arial"/>
          <w:sz w:val="24"/>
          <w:szCs w:val="24"/>
        </w:rPr>
        <w:t xml:space="preserve">Dana UK Axle Ltd v Freudenberg FST </w:t>
      </w:r>
      <w:r w:rsidR="008C3F3B" w:rsidRPr="00892D85">
        <w:rPr>
          <w:rFonts w:ascii="Arial" w:eastAsia="Calibri" w:hAnsi="Arial" w:cs="Arial"/>
          <w:sz w:val="24"/>
          <w:szCs w:val="24"/>
        </w:rPr>
        <w:t>G</w:t>
      </w:r>
      <w:r w:rsidR="008C3F3B">
        <w:rPr>
          <w:rFonts w:ascii="Arial" w:eastAsia="Calibri" w:hAnsi="Arial" w:cs="Arial"/>
          <w:sz w:val="24"/>
          <w:szCs w:val="24"/>
        </w:rPr>
        <w:t>mb</w:t>
      </w:r>
      <w:r w:rsidR="008C3F3B" w:rsidRPr="00892D85">
        <w:rPr>
          <w:rFonts w:ascii="Arial" w:eastAsia="Calibri" w:hAnsi="Arial" w:cs="Arial"/>
          <w:sz w:val="24"/>
          <w:szCs w:val="24"/>
        </w:rPr>
        <w:t xml:space="preserve">H </w:t>
      </w:r>
      <w:r w:rsidRPr="00892D85">
        <w:rPr>
          <w:rFonts w:ascii="Arial" w:eastAsia="Calibri" w:hAnsi="Arial" w:cs="Arial"/>
          <w:sz w:val="24"/>
          <w:szCs w:val="24"/>
        </w:rPr>
        <w:t>[2021] EWHC 1027 (TCC)</w:t>
      </w:r>
    </w:p>
    <w:p w14:paraId="036AF710" w14:textId="38375189" w:rsidR="00584ACC" w:rsidRDefault="00584ACC" w:rsidP="007C1CA9">
      <w:pPr>
        <w:spacing w:before="100" w:beforeAutospacing="1" w:after="100" w:afterAutospacing="1"/>
        <w:rPr>
          <w:rFonts w:ascii="Arial" w:eastAsia="Times New Roman" w:hAnsi="Arial" w:cs="Arial"/>
          <w:sz w:val="28"/>
          <w:szCs w:val="28"/>
          <w:lang w:eastAsia="en-GB"/>
        </w:rPr>
      </w:pPr>
      <w:r>
        <w:rPr>
          <w:rFonts w:ascii="Arial" w:eastAsia="Times New Roman" w:hAnsi="Arial" w:cs="Arial"/>
          <w:sz w:val="28"/>
          <w:szCs w:val="28"/>
          <w:lang w:eastAsia="en-GB"/>
        </w:rPr>
        <w:t>Company</w:t>
      </w:r>
    </w:p>
    <w:p w14:paraId="1BEBDF71" w14:textId="77777777" w:rsidR="00892D85" w:rsidRPr="00892D85" w:rsidRDefault="00892D85" w:rsidP="00892D85">
      <w:pPr>
        <w:spacing w:before="100" w:beforeAutospacing="1" w:after="100" w:afterAutospacing="1"/>
        <w:rPr>
          <w:rFonts w:ascii="Arial" w:eastAsia="Calibri" w:hAnsi="Arial" w:cs="Arial"/>
          <w:b/>
          <w:bCs/>
          <w:sz w:val="24"/>
          <w:szCs w:val="24"/>
        </w:rPr>
      </w:pPr>
      <w:r w:rsidRPr="00892D85">
        <w:rPr>
          <w:rFonts w:ascii="Arial" w:eastAsia="Calibri" w:hAnsi="Arial" w:cs="Arial"/>
          <w:b/>
          <w:bCs/>
          <w:sz w:val="24"/>
          <w:szCs w:val="24"/>
        </w:rPr>
        <w:t>Worldwide Freezing Orders and Dissipation of Assets – Guideline Ruling</w:t>
      </w:r>
    </w:p>
    <w:p w14:paraId="42E7BD34" w14:textId="3BC42082"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Worldwide freezing orders (WFOs) are a powerful, some might say draconian, tool and will only be issued if there is a real risk of an alleged wrongdoer dissipating assets. The question of what constitutes such a risk came under analysis in a guideline Court of Appeal decision.</w:t>
      </w:r>
    </w:p>
    <w:p w14:paraId="4F5254D9" w14:textId="5459828F"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 xml:space="preserve">Two companies and their administrators obtained pre-trial WFOs against five people who were alleged to have misappropriated large sums belonging to the companies. </w:t>
      </w:r>
      <w:r w:rsidRPr="00892D85">
        <w:rPr>
          <w:rFonts w:ascii="Arial" w:eastAsia="Calibri" w:hAnsi="Arial" w:cs="Arial"/>
          <w:sz w:val="24"/>
          <w:szCs w:val="24"/>
        </w:rPr>
        <w:lastRenderedPageBreak/>
        <w:t>Prior to those orders being made, the Serious Fraud Office (SFO) had been granted criminal restraint orders (CROs) in respect of the individuals</w:t>
      </w:r>
      <w:r w:rsidR="00707F1F">
        <w:rPr>
          <w:rFonts w:ascii="Arial" w:eastAsia="Calibri" w:hAnsi="Arial" w:cs="Arial"/>
          <w:sz w:val="24"/>
          <w:szCs w:val="24"/>
        </w:rPr>
        <w:t>'</w:t>
      </w:r>
      <w:r w:rsidRPr="00892D85">
        <w:rPr>
          <w:rFonts w:ascii="Arial" w:eastAsia="Calibri" w:hAnsi="Arial" w:cs="Arial"/>
          <w:sz w:val="24"/>
          <w:szCs w:val="24"/>
        </w:rPr>
        <w:t xml:space="preserve"> assets.</w:t>
      </w:r>
    </w:p>
    <w:p w14:paraId="248DE452" w14:textId="77777777"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In challenging the WFOs, two of them argued that, given the prior existence of the CROs, it could not be shown that there was a real risk that they would dissipate their assets. The CROs and the WFOs were said to be identical in effect and the duo argued that the imposition of the WFOs had achieved nothing, save to expose them to a heavier burden of compliance and greater legal costs.</w:t>
      </w:r>
    </w:p>
    <w:p w14:paraId="727CEF4F" w14:textId="5CEDD716"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In dismissing the appeals, however, the Court found on the facts of the case that the CROs were not a complete or adequate substitute for WFOs. The CROs were targeted at ensuring the preservation of assets that might be used to satisfy a criminal confiscation order, whereas the WFOs were designed to protect the companies</w:t>
      </w:r>
      <w:r w:rsidR="00707F1F">
        <w:rPr>
          <w:rFonts w:ascii="Arial" w:eastAsia="Calibri" w:hAnsi="Arial" w:cs="Arial"/>
          <w:sz w:val="24"/>
          <w:szCs w:val="24"/>
        </w:rPr>
        <w:t>'</w:t>
      </w:r>
      <w:r w:rsidRPr="00892D85">
        <w:rPr>
          <w:rFonts w:ascii="Arial" w:eastAsia="Calibri" w:hAnsi="Arial" w:cs="Arial"/>
          <w:sz w:val="24"/>
          <w:szCs w:val="24"/>
        </w:rPr>
        <w:t xml:space="preserve"> private interests.</w:t>
      </w:r>
    </w:p>
    <w:p w14:paraId="3DF59B84" w14:textId="77777777"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 xml:space="preserve">The SFO was under no obligation to notify the companies in the event that the CROs were </w:t>
      </w:r>
      <w:proofErr w:type="gramStart"/>
      <w:r w:rsidRPr="00892D85">
        <w:rPr>
          <w:rFonts w:ascii="Arial" w:eastAsia="Calibri" w:hAnsi="Arial" w:cs="Arial"/>
          <w:sz w:val="24"/>
          <w:szCs w:val="24"/>
        </w:rPr>
        <w:t>lifted</w:t>
      </w:r>
      <w:proofErr w:type="gramEnd"/>
      <w:r w:rsidRPr="00892D85">
        <w:rPr>
          <w:rFonts w:ascii="Arial" w:eastAsia="Calibri" w:hAnsi="Arial" w:cs="Arial"/>
          <w:sz w:val="24"/>
          <w:szCs w:val="24"/>
        </w:rPr>
        <w:t xml:space="preserve"> and the companies had a more than fanciful concern that the SFO might permit the duo to deal with their assets in such a way as to undermine their position. There was also the possibility that assets to which the companies proved to be entitled might fall outside the ambit of the CROs.</w:t>
      </w:r>
    </w:p>
    <w:p w14:paraId="125BED80" w14:textId="17F5000F" w:rsid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The companies</w:t>
      </w:r>
      <w:r w:rsidR="00707F1F">
        <w:rPr>
          <w:rFonts w:ascii="Arial" w:eastAsia="Calibri" w:hAnsi="Arial" w:cs="Arial"/>
          <w:sz w:val="24"/>
          <w:szCs w:val="24"/>
        </w:rPr>
        <w:t>'</w:t>
      </w:r>
      <w:r w:rsidRPr="00892D85">
        <w:rPr>
          <w:rFonts w:ascii="Arial" w:eastAsia="Calibri" w:hAnsi="Arial" w:cs="Arial"/>
          <w:sz w:val="24"/>
          <w:szCs w:val="24"/>
        </w:rPr>
        <w:t xml:space="preserve"> administrators might well have information and expert opinion concerning the existence or value of the duo</w:t>
      </w:r>
      <w:r w:rsidR="00707F1F">
        <w:rPr>
          <w:rFonts w:ascii="Arial" w:eastAsia="Calibri" w:hAnsi="Arial" w:cs="Arial"/>
          <w:sz w:val="24"/>
          <w:szCs w:val="24"/>
        </w:rPr>
        <w:t>'</w:t>
      </w:r>
      <w:r w:rsidRPr="00892D85">
        <w:rPr>
          <w:rFonts w:ascii="Arial" w:eastAsia="Calibri" w:hAnsi="Arial" w:cs="Arial"/>
          <w:sz w:val="24"/>
          <w:szCs w:val="24"/>
        </w:rPr>
        <w:t>s assets that was not available to the SFO and had justifiable concerns about the possible shortcomings of the CROs in guarding against the risk of dissipation.</w:t>
      </w:r>
    </w:p>
    <w:p w14:paraId="3389B1BC" w14:textId="350740B4"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Our lawyers have expertise spanning every area of company law. Contact us for specialist advice.</w:t>
      </w:r>
    </w:p>
    <w:p w14:paraId="6BB2F31B" w14:textId="77777777" w:rsidR="00892D85" w:rsidRPr="00892D85" w:rsidRDefault="00892D85" w:rsidP="00892D85">
      <w:pPr>
        <w:rPr>
          <w:rFonts w:ascii="Arial" w:eastAsia="Calibri" w:hAnsi="Arial" w:cs="Arial"/>
          <w:b/>
          <w:bCs/>
          <w:sz w:val="24"/>
          <w:szCs w:val="24"/>
        </w:rPr>
      </w:pPr>
      <w:r w:rsidRPr="00892D85">
        <w:rPr>
          <w:rFonts w:ascii="Arial" w:eastAsia="Calibri" w:hAnsi="Arial" w:cs="Arial"/>
          <w:b/>
          <w:bCs/>
          <w:sz w:val="24"/>
          <w:szCs w:val="24"/>
        </w:rPr>
        <w:t>Partner Note</w:t>
      </w:r>
    </w:p>
    <w:p w14:paraId="4B254812" w14:textId="77777777" w:rsidR="00892D85" w:rsidRPr="00892D85" w:rsidRDefault="00892D85" w:rsidP="00892D85">
      <w:pPr>
        <w:rPr>
          <w:rFonts w:ascii="Arial" w:eastAsia="Calibri" w:hAnsi="Arial" w:cs="Arial"/>
          <w:sz w:val="24"/>
          <w:szCs w:val="24"/>
        </w:rPr>
      </w:pPr>
      <w:r w:rsidRPr="00892D85">
        <w:rPr>
          <w:rFonts w:ascii="Arial" w:eastAsia="Calibri" w:hAnsi="Arial" w:cs="Arial"/>
          <w:sz w:val="24"/>
          <w:szCs w:val="24"/>
        </w:rPr>
        <w:t xml:space="preserve">AA and Others v BB and Another [2021] EWCA </w:t>
      </w:r>
      <w:proofErr w:type="spellStart"/>
      <w:r w:rsidRPr="00892D85">
        <w:rPr>
          <w:rFonts w:ascii="Arial" w:eastAsia="Calibri" w:hAnsi="Arial" w:cs="Arial"/>
          <w:sz w:val="24"/>
          <w:szCs w:val="24"/>
        </w:rPr>
        <w:t>Civ</w:t>
      </w:r>
      <w:proofErr w:type="spellEnd"/>
      <w:r w:rsidRPr="00892D85">
        <w:rPr>
          <w:rFonts w:ascii="Arial" w:eastAsia="Calibri" w:hAnsi="Arial" w:cs="Arial"/>
          <w:sz w:val="24"/>
          <w:szCs w:val="24"/>
        </w:rPr>
        <w:t xml:space="preserve"> 1017</w:t>
      </w:r>
    </w:p>
    <w:p w14:paraId="071BE15E" w14:textId="641FF482" w:rsidR="008B0DCF" w:rsidRDefault="000B1D5C" w:rsidP="00576368">
      <w:pPr>
        <w:spacing w:before="100" w:beforeAutospacing="1" w:after="100" w:afterAutospacing="1"/>
        <w:rPr>
          <w:rFonts w:ascii="Arial" w:hAnsi="Arial" w:cs="Arial"/>
          <w:sz w:val="28"/>
          <w:szCs w:val="28"/>
        </w:rPr>
      </w:pPr>
      <w:bookmarkStart w:id="8" w:name="_Hlk25826245"/>
      <w:bookmarkStart w:id="9" w:name="_Hlk31198806"/>
      <w:bookmarkStart w:id="10" w:name="_Hlk38963997"/>
      <w:bookmarkEnd w:id="6"/>
      <w:r w:rsidRPr="00252D58">
        <w:rPr>
          <w:rFonts w:ascii="Arial" w:hAnsi="Arial" w:cs="Arial"/>
          <w:sz w:val="28"/>
          <w:szCs w:val="28"/>
        </w:rPr>
        <w:t>Co</w:t>
      </w:r>
      <w:bookmarkEnd w:id="8"/>
      <w:bookmarkEnd w:id="9"/>
      <w:bookmarkEnd w:id="10"/>
      <w:r w:rsidRPr="00252D58">
        <w:rPr>
          <w:rFonts w:ascii="Arial" w:hAnsi="Arial" w:cs="Arial"/>
          <w:sz w:val="28"/>
          <w:szCs w:val="28"/>
        </w:rPr>
        <w:t>ntract</w:t>
      </w:r>
    </w:p>
    <w:p w14:paraId="1D8C1035" w14:textId="5BB80F21" w:rsidR="00892D85" w:rsidRPr="00892D85" w:rsidRDefault="00892D85" w:rsidP="00892D85">
      <w:pPr>
        <w:spacing w:before="100" w:beforeAutospacing="1" w:after="100" w:afterAutospacing="1"/>
        <w:rPr>
          <w:rFonts w:ascii="Arial" w:eastAsia="Calibri" w:hAnsi="Arial" w:cs="Arial"/>
          <w:b/>
          <w:bCs/>
          <w:sz w:val="24"/>
          <w:szCs w:val="24"/>
        </w:rPr>
      </w:pPr>
      <w:r w:rsidRPr="00892D85">
        <w:rPr>
          <w:rFonts w:ascii="Arial" w:eastAsia="Calibri" w:hAnsi="Arial" w:cs="Arial"/>
          <w:b/>
          <w:bCs/>
          <w:sz w:val="24"/>
          <w:szCs w:val="24"/>
        </w:rPr>
        <w:t>Negotiating is One Thing</w:t>
      </w:r>
      <w:r w:rsidR="00BE4BEB">
        <w:rPr>
          <w:rFonts w:ascii="Arial" w:eastAsia="Calibri" w:hAnsi="Arial" w:cs="Arial"/>
          <w:b/>
          <w:bCs/>
          <w:sz w:val="24"/>
          <w:szCs w:val="24"/>
        </w:rPr>
        <w:t>,</w:t>
      </w:r>
      <w:r w:rsidRPr="00892D85">
        <w:rPr>
          <w:rFonts w:ascii="Arial" w:eastAsia="Calibri" w:hAnsi="Arial" w:cs="Arial"/>
          <w:b/>
          <w:bCs/>
          <w:sz w:val="24"/>
          <w:szCs w:val="24"/>
        </w:rPr>
        <w:t xml:space="preserve"> </w:t>
      </w:r>
      <w:r w:rsidR="00BE4BEB">
        <w:rPr>
          <w:rFonts w:ascii="Arial" w:eastAsia="Calibri" w:hAnsi="Arial" w:cs="Arial"/>
          <w:b/>
          <w:bCs/>
          <w:sz w:val="24"/>
          <w:szCs w:val="24"/>
        </w:rPr>
        <w:t>B</w:t>
      </w:r>
      <w:r w:rsidRPr="00892D85">
        <w:rPr>
          <w:rFonts w:ascii="Arial" w:eastAsia="Calibri" w:hAnsi="Arial" w:cs="Arial"/>
          <w:b/>
          <w:bCs/>
          <w:sz w:val="24"/>
          <w:szCs w:val="24"/>
        </w:rPr>
        <w:t xml:space="preserve">ut Completing a Binding Contract </w:t>
      </w:r>
      <w:r w:rsidR="00BE4BEB">
        <w:rPr>
          <w:rFonts w:ascii="Arial" w:eastAsia="Calibri" w:hAnsi="Arial" w:cs="Arial"/>
          <w:b/>
          <w:bCs/>
          <w:sz w:val="24"/>
          <w:szCs w:val="24"/>
        </w:rPr>
        <w:t>i</w:t>
      </w:r>
      <w:r w:rsidRPr="00892D85">
        <w:rPr>
          <w:rFonts w:ascii="Arial" w:eastAsia="Calibri" w:hAnsi="Arial" w:cs="Arial"/>
          <w:b/>
          <w:bCs/>
          <w:sz w:val="24"/>
          <w:szCs w:val="24"/>
        </w:rPr>
        <w:t>s Quite Another</w:t>
      </w:r>
    </w:p>
    <w:p w14:paraId="21569540" w14:textId="77777777"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Commercial negotiations may proceed for many months and involve any number of meetings, messages and phone calls. However, as a High Court ruling showed, the question of whether a binding contract has been completed very often hinges on whether a signature appears on a dotted line.</w:t>
      </w:r>
    </w:p>
    <w:p w14:paraId="11A8837B" w14:textId="77777777" w:rsidR="00892D85" w:rsidRP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Over an extended period, a pharmaceutical company negotiated with a supplier, with a view to being supplied with a muscle relaxant drug used in the treatment of multiple sclerosis. The company asserted that those negotiations resulted in a legally binding agreement and launched proceedings after the supplier entered into a distribution deal in respect of the drug with one of its competitors.</w:t>
      </w:r>
    </w:p>
    <w:p w14:paraId="08C8C740" w14:textId="1E601A9E" w:rsidR="00892D85" w:rsidRDefault="00892D85" w:rsidP="00892D85">
      <w:pPr>
        <w:spacing w:before="100" w:beforeAutospacing="1" w:after="100" w:afterAutospacing="1"/>
        <w:rPr>
          <w:rFonts w:ascii="Arial" w:eastAsia="Calibri" w:hAnsi="Arial" w:cs="Arial"/>
          <w:sz w:val="24"/>
          <w:szCs w:val="24"/>
        </w:rPr>
      </w:pPr>
      <w:r w:rsidRPr="00892D85">
        <w:rPr>
          <w:rFonts w:ascii="Arial" w:eastAsia="Calibri" w:hAnsi="Arial" w:cs="Arial"/>
          <w:sz w:val="24"/>
          <w:szCs w:val="24"/>
        </w:rPr>
        <w:t xml:space="preserve">Dismissing the claim, however, the Court found that the negotiations had proceeded throughout on a </w:t>
      </w:r>
      <w:r w:rsidR="00707F1F">
        <w:rPr>
          <w:rFonts w:ascii="Arial" w:eastAsia="Calibri" w:hAnsi="Arial" w:cs="Arial"/>
          <w:sz w:val="24"/>
          <w:szCs w:val="24"/>
        </w:rPr>
        <w:t>'</w:t>
      </w:r>
      <w:r w:rsidRPr="00892D85">
        <w:rPr>
          <w:rFonts w:ascii="Arial" w:eastAsia="Calibri" w:hAnsi="Arial" w:cs="Arial"/>
          <w:sz w:val="24"/>
          <w:szCs w:val="24"/>
        </w:rPr>
        <w:t>subject to contract</w:t>
      </w:r>
      <w:r w:rsidR="00707F1F">
        <w:rPr>
          <w:rFonts w:ascii="Arial" w:eastAsia="Calibri" w:hAnsi="Arial" w:cs="Arial"/>
          <w:sz w:val="24"/>
          <w:szCs w:val="24"/>
        </w:rPr>
        <w:t>'</w:t>
      </w:r>
      <w:r w:rsidRPr="00892D85">
        <w:rPr>
          <w:rFonts w:ascii="Arial" w:eastAsia="Calibri" w:hAnsi="Arial" w:cs="Arial"/>
          <w:sz w:val="24"/>
          <w:szCs w:val="24"/>
        </w:rPr>
        <w:t xml:space="preserve"> basis. Offers had been made and accepted, but it was understood that no binding contract would come into existence until a formal </w:t>
      </w:r>
      <w:r w:rsidRPr="00892D85">
        <w:rPr>
          <w:rFonts w:ascii="Arial" w:eastAsia="Calibri" w:hAnsi="Arial" w:cs="Arial"/>
          <w:sz w:val="24"/>
          <w:szCs w:val="24"/>
        </w:rPr>
        <w:lastRenderedPageBreak/>
        <w:t>addendum had been agreed and signed by both parties. Such an addendum had been reduced to writing, but the supplier never signed it.</w:t>
      </w:r>
    </w:p>
    <w:p w14:paraId="265CC50C" w14:textId="77777777" w:rsidR="00892D85" w:rsidRPr="00B17AE9" w:rsidRDefault="00892D85" w:rsidP="00892D85">
      <w:pPr>
        <w:spacing w:before="100" w:beforeAutospacing="1" w:after="100" w:afterAutospacing="1"/>
        <w:rPr>
          <w:rFonts w:ascii="Arial" w:eastAsia="Calibri" w:hAnsi="Arial" w:cs="Arial"/>
          <w:sz w:val="24"/>
          <w:szCs w:val="24"/>
        </w:rPr>
      </w:pPr>
      <w:r w:rsidRPr="00B17AE9">
        <w:rPr>
          <w:rFonts w:ascii="Arial" w:eastAsia="Calibri" w:hAnsi="Arial" w:cs="Arial"/>
          <w:sz w:val="24"/>
          <w:szCs w:val="24"/>
        </w:rPr>
        <w:t>For advice on any contractual matter, please contact</w:t>
      </w:r>
      <w:r w:rsidRPr="002D759A">
        <w:rPr>
          <w:rFonts w:ascii="Arial" w:eastAsia="Calibri" w:hAnsi="Arial" w:cs="Arial"/>
          <w:sz w:val="24"/>
          <w:szCs w:val="24"/>
        </w:rPr>
        <w:t xml:space="preserve"> </w:t>
      </w:r>
      <w:r w:rsidRPr="0016046E">
        <w:rPr>
          <w:rFonts w:ascii="Arial" w:eastAsia="Calibri" w:hAnsi="Arial" w:cs="Arial"/>
          <w:color w:val="FF0000"/>
          <w:sz w:val="24"/>
          <w:szCs w:val="24"/>
        </w:rPr>
        <w:t>&lt;&lt;CONTACT DETAILS&gt;&gt;</w:t>
      </w:r>
      <w:r w:rsidRPr="00B17AE9">
        <w:rPr>
          <w:rFonts w:ascii="Arial" w:eastAsia="Calibri" w:hAnsi="Arial" w:cs="Arial"/>
          <w:sz w:val="24"/>
          <w:szCs w:val="24"/>
        </w:rPr>
        <w:t>.</w:t>
      </w:r>
    </w:p>
    <w:p w14:paraId="19909341" w14:textId="77777777" w:rsidR="00892D85" w:rsidRPr="00892D85" w:rsidRDefault="00892D85" w:rsidP="00892D85">
      <w:pPr>
        <w:rPr>
          <w:rFonts w:ascii="Arial" w:eastAsia="Calibri" w:hAnsi="Arial" w:cs="Arial"/>
          <w:b/>
          <w:bCs/>
          <w:sz w:val="24"/>
          <w:szCs w:val="24"/>
        </w:rPr>
      </w:pPr>
      <w:r w:rsidRPr="00892D85">
        <w:rPr>
          <w:rFonts w:ascii="Arial" w:eastAsia="Calibri" w:hAnsi="Arial" w:cs="Arial"/>
          <w:b/>
          <w:bCs/>
          <w:sz w:val="24"/>
          <w:szCs w:val="24"/>
        </w:rPr>
        <w:t>Partner Note</w:t>
      </w:r>
    </w:p>
    <w:p w14:paraId="5A6DF682" w14:textId="77777777" w:rsidR="00892D85" w:rsidRPr="00892D85" w:rsidRDefault="00892D85" w:rsidP="00892D85">
      <w:pPr>
        <w:rPr>
          <w:rFonts w:ascii="Arial" w:eastAsia="Calibri" w:hAnsi="Arial" w:cs="Arial"/>
          <w:sz w:val="24"/>
          <w:szCs w:val="24"/>
        </w:rPr>
      </w:pPr>
      <w:proofErr w:type="spellStart"/>
      <w:r w:rsidRPr="00892D85">
        <w:rPr>
          <w:rFonts w:ascii="Arial" w:eastAsia="Calibri" w:hAnsi="Arial" w:cs="Arial"/>
          <w:sz w:val="24"/>
          <w:szCs w:val="24"/>
        </w:rPr>
        <w:t>Jamp</w:t>
      </w:r>
      <w:proofErr w:type="spellEnd"/>
      <w:r w:rsidRPr="00892D85">
        <w:rPr>
          <w:rFonts w:ascii="Arial" w:eastAsia="Calibri" w:hAnsi="Arial" w:cs="Arial"/>
          <w:sz w:val="24"/>
          <w:szCs w:val="24"/>
        </w:rPr>
        <w:t xml:space="preserve"> Pharma Corporation v </w:t>
      </w:r>
      <w:proofErr w:type="spellStart"/>
      <w:r w:rsidRPr="00892D85">
        <w:rPr>
          <w:rFonts w:ascii="Arial" w:eastAsia="Calibri" w:hAnsi="Arial" w:cs="Arial"/>
          <w:sz w:val="24"/>
          <w:szCs w:val="24"/>
        </w:rPr>
        <w:t>Unichem</w:t>
      </w:r>
      <w:proofErr w:type="spellEnd"/>
      <w:r w:rsidRPr="00892D85">
        <w:rPr>
          <w:rFonts w:ascii="Arial" w:eastAsia="Calibri" w:hAnsi="Arial" w:cs="Arial"/>
          <w:sz w:val="24"/>
          <w:szCs w:val="24"/>
        </w:rPr>
        <w:t xml:space="preserve"> Laboratories Ltd [2021] EWHC 1712 (Comm)</w:t>
      </w:r>
    </w:p>
    <w:p w14:paraId="5036FB1F" w14:textId="114F72DF" w:rsidR="003B4DBB" w:rsidRDefault="007A3910" w:rsidP="00231587">
      <w:pPr>
        <w:spacing w:before="100" w:beforeAutospacing="1" w:after="100" w:afterAutospacing="1"/>
        <w:rPr>
          <w:rFonts w:ascii="Arial" w:hAnsi="Arial" w:cs="Arial"/>
          <w:sz w:val="28"/>
          <w:szCs w:val="28"/>
        </w:rPr>
      </w:pPr>
      <w:r>
        <w:rPr>
          <w:rFonts w:ascii="Arial" w:hAnsi="Arial" w:cs="Arial"/>
          <w:sz w:val="28"/>
          <w:szCs w:val="28"/>
        </w:rPr>
        <w:t>Intellectual Property</w:t>
      </w:r>
    </w:p>
    <w:p w14:paraId="41623834" w14:textId="77777777" w:rsidR="000A670B" w:rsidRPr="000A670B" w:rsidRDefault="000A670B" w:rsidP="000A670B">
      <w:pPr>
        <w:spacing w:before="100" w:beforeAutospacing="1" w:after="100" w:afterAutospacing="1"/>
        <w:rPr>
          <w:rFonts w:ascii="Arial" w:eastAsia="Calibri" w:hAnsi="Arial" w:cs="Arial"/>
          <w:b/>
          <w:bCs/>
          <w:sz w:val="24"/>
          <w:szCs w:val="24"/>
        </w:rPr>
      </w:pPr>
      <w:r w:rsidRPr="000A670B">
        <w:rPr>
          <w:rFonts w:ascii="Arial" w:eastAsia="Calibri" w:hAnsi="Arial" w:cs="Arial"/>
          <w:b/>
          <w:bCs/>
          <w:sz w:val="24"/>
          <w:szCs w:val="24"/>
        </w:rPr>
        <w:t>Even Modest Sole Traders Can Reap the Benefits of Trade Mark Protection</w:t>
      </w:r>
    </w:p>
    <w:p w14:paraId="7012F7EE" w14:textId="77777777" w:rsidR="000A670B" w:rsidRPr="000A670B" w:rsidRDefault="000A670B" w:rsidP="000A670B">
      <w:pPr>
        <w:spacing w:before="100" w:beforeAutospacing="1" w:after="100" w:afterAutospacing="1"/>
        <w:rPr>
          <w:rFonts w:ascii="Arial" w:eastAsia="Calibri" w:hAnsi="Arial" w:cs="Arial"/>
          <w:sz w:val="24"/>
          <w:szCs w:val="24"/>
        </w:rPr>
      </w:pPr>
      <w:r w:rsidRPr="000A670B">
        <w:rPr>
          <w:rFonts w:ascii="Arial" w:eastAsia="Calibri" w:hAnsi="Arial" w:cs="Arial"/>
          <w:sz w:val="24"/>
          <w:szCs w:val="24"/>
        </w:rPr>
        <w:t xml:space="preserve">No matter how small your business may be, it is always worth engaging a solicitor to ensure that you have proper </w:t>
      </w:r>
      <w:proofErr w:type="gramStart"/>
      <w:r w:rsidRPr="000A670B">
        <w:rPr>
          <w:rFonts w:ascii="Arial" w:eastAsia="Calibri" w:hAnsi="Arial" w:cs="Arial"/>
          <w:sz w:val="24"/>
          <w:szCs w:val="24"/>
        </w:rPr>
        <w:t>trade mark</w:t>
      </w:r>
      <w:proofErr w:type="gramEnd"/>
      <w:r w:rsidRPr="000A670B">
        <w:rPr>
          <w:rFonts w:ascii="Arial" w:eastAsia="Calibri" w:hAnsi="Arial" w:cs="Arial"/>
          <w:sz w:val="24"/>
          <w:szCs w:val="24"/>
        </w:rPr>
        <w:t xml:space="preserve"> protection. In a High Court case on point, registration of various </w:t>
      </w:r>
      <w:proofErr w:type="spellStart"/>
      <w:proofErr w:type="gramStart"/>
      <w:r w:rsidRPr="000A670B">
        <w:rPr>
          <w:rFonts w:ascii="Arial" w:eastAsia="Calibri" w:hAnsi="Arial" w:cs="Arial"/>
          <w:sz w:val="24"/>
          <w:szCs w:val="24"/>
        </w:rPr>
        <w:t>trade marks</w:t>
      </w:r>
      <w:proofErr w:type="spellEnd"/>
      <w:proofErr w:type="gramEnd"/>
      <w:r w:rsidRPr="000A670B">
        <w:rPr>
          <w:rFonts w:ascii="Arial" w:eastAsia="Calibri" w:hAnsi="Arial" w:cs="Arial"/>
          <w:sz w:val="24"/>
          <w:szCs w:val="24"/>
        </w:rPr>
        <w:t xml:space="preserve"> paid dividends to a sole trader who made a modest living from the provision of cleaning services.</w:t>
      </w:r>
    </w:p>
    <w:p w14:paraId="22BE6BE2" w14:textId="11821F15" w:rsidR="000A670B" w:rsidRPr="000A670B" w:rsidRDefault="000A670B" w:rsidP="000A670B">
      <w:pPr>
        <w:spacing w:before="100" w:beforeAutospacing="1" w:after="100" w:afterAutospacing="1"/>
        <w:rPr>
          <w:rFonts w:ascii="Arial" w:eastAsia="Calibri" w:hAnsi="Arial" w:cs="Arial"/>
          <w:sz w:val="24"/>
          <w:szCs w:val="24"/>
        </w:rPr>
      </w:pPr>
      <w:r w:rsidRPr="000A670B">
        <w:rPr>
          <w:rFonts w:ascii="Arial" w:eastAsia="Calibri" w:hAnsi="Arial" w:cs="Arial"/>
          <w:sz w:val="24"/>
          <w:szCs w:val="24"/>
        </w:rPr>
        <w:t xml:space="preserve">Despite generating an average annual income of only about £18,000 from her work, the trader took the trouble to protect the name and get-up of her business, which included the word </w:t>
      </w:r>
      <w:r w:rsidR="00707F1F">
        <w:rPr>
          <w:rFonts w:ascii="Arial" w:eastAsia="Calibri" w:hAnsi="Arial" w:cs="Arial"/>
          <w:sz w:val="24"/>
          <w:szCs w:val="24"/>
        </w:rPr>
        <w:t>'</w:t>
      </w:r>
      <w:r w:rsidRPr="000A670B">
        <w:rPr>
          <w:rFonts w:ascii="Arial" w:eastAsia="Calibri" w:hAnsi="Arial" w:cs="Arial"/>
          <w:sz w:val="24"/>
          <w:szCs w:val="24"/>
        </w:rPr>
        <w:t>angel</w:t>
      </w:r>
      <w:r w:rsidR="00707F1F">
        <w:rPr>
          <w:rFonts w:ascii="Arial" w:eastAsia="Calibri" w:hAnsi="Arial" w:cs="Arial"/>
          <w:sz w:val="24"/>
          <w:szCs w:val="24"/>
        </w:rPr>
        <w:t>'</w:t>
      </w:r>
      <w:r w:rsidRPr="000A670B">
        <w:rPr>
          <w:rFonts w:ascii="Arial" w:eastAsia="Calibri" w:hAnsi="Arial" w:cs="Arial"/>
          <w:sz w:val="24"/>
          <w:szCs w:val="24"/>
        </w:rPr>
        <w:t xml:space="preserve"> accompanied by a golden angel device. Both name and device were registered as </w:t>
      </w:r>
      <w:proofErr w:type="spellStart"/>
      <w:proofErr w:type="gramStart"/>
      <w:r w:rsidRPr="000A670B">
        <w:rPr>
          <w:rFonts w:ascii="Arial" w:eastAsia="Calibri" w:hAnsi="Arial" w:cs="Arial"/>
          <w:sz w:val="24"/>
          <w:szCs w:val="24"/>
        </w:rPr>
        <w:t>trade marks</w:t>
      </w:r>
      <w:proofErr w:type="spellEnd"/>
      <w:proofErr w:type="gramEnd"/>
      <w:r w:rsidRPr="000A670B">
        <w:rPr>
          <w:rFonts w:ascii="Arial" w:eastAsia="Calibri" w:hAnsi="Arial" w:cs="Arial"/>
          <w:sz w:val="24"/>
          <w:szCs w:val="24"/>
        </w:rPr>
        <w:t>, giving her exclusive rights to use them throughout the UK.</w:t>
      </w:r>
    </w:p>
    <w:p w14:paraId="7E3D91D8" w14:textId="3D4F2FE0" w:rsidR="000A670B" w:rsidRPr="000A670B" w:rsidRDefault="000A670B" w:rsidP="000A670B">
      <w:pPr>
        <w:spacing w:before="100" w:beforeAutospacing="1" w:after="100" w:afterAutospacing="1"/>
        <w:rPr>
          <w:rFonts w:ascii="Arial" w:eastAsia="Calibri" w:hAnsi="Arial" w:cs="Arial"/>
          <w:sz w:val="24"/>
          <w:szCs w:val="24"/>
        </w:rPr>
      </w:pPr>
      <w:r w:rsidRPr="000A670B">
        <w:rPr>
          <w:rFonts w:ascii="Arial" w:eastAsia="Calibri" w:hAnsi="Arial" w:cs="Arial"/>
          <w:sz w:val="24"/>
          <w:szCs w:val="24"/>
        </w:rPr>
        <w:t xml:space="preserve">She launched infringement proceedings against a woman who began offering similar services using a trading style which, other than being prefixed by the word </w:t>
      </w:r>
      <w:r w:rsidR="00707F1F">
        <w:rPr>
          <w:rFonts w:ascii="Arial" w:eastAsia="Calibri" w:hAnsi="Arial" w:cs="Arial"/>
          <w:sz w:val="24"/>
          <w:szCs w:val="24"/>
        </w:rPr>
        <w:t>'</w:t>
      </w:r>
      <w:r w:rsidRPr="000A670B">
        <w:rPr>
          <w:rFonts w:ascii="Arial" w:eastAsia="Calibri" w:hAnsi="Arial" w:cs="Arial"/>
          <w:sz w:val="24"/>
          <w:szCs w:val="24"/>
        </w:rPr>
        <w:t>the</w:t>
      </w:r>
      <w:r w:rsidR="00707F1F">
        <w:rPr>
          <w:rFonts w:ascii="Arial" w:eastAsia="Calibri" w:hAnsi="Arial" w:cs="Arial"/>
          <w:sz w:val="24"/>
          <w:szCs w:val="24"/>
        </w:rPr>
        <w:t>'</w:t>
      </w:r>
      <w:r w:rsidRPr="000A670B">
        <w:rPr>
          <w:rFonts w:ascii="Arial" w:eastAsia="Calibri" w:hAnsi="Arial" w:cs="Arial"/>
          <w:sz w:val="24"/>
          <w:szCs w:val="24"/>
        </w:rPr>
        <w:t xml:space="preserve">, was identical to the trade marked name. She also advertised her services using a logo of an angel, which could </w:t>
      </w:r>
      <w:proofErr w:type="gramStart"/>
      <w:r w:rsidRPr="000A670B">
        <w:rPr>
          <w:rFonts w:ascii="Arial" w:eastAsia="Calibri" w:hAnsi="Arial" w:cs="Arial"/>
          <w:sz w:val="24"/>
          <w:szCs w:val="24"/>
        </w:rPr>
        <w:t>be described as being</w:t>
      </w:r>
      <w:proofErr w:type="gramEnd"/>
      <w:r w:rsidRPr="000A670B">
        <w:rPr>
          <w:rFonts w:ascii="Arial" w:eastAsia="Calibri" w:hAnsi="Arial" w:cs="Arial"/>
          <w:sz w:val="24"/>
          <w:szCs w:val="24"/>
        </w:rPr>
        <w:t xml:space="preserve"> golden.</w:t>
      </w:r>
    </w:p>
    <w:p w14:paraId="1B10F605" w14:textId="0714E847" w:rsidR="000A670B" w:rsidRPr="000A670B" w:rsidRDefault="000A670B" w:rsidP="000A670B">
      <w:pPr>
        <w:spacing w:before="100" w:beforeAutospacing="1" w:after="100" w:afterAutospacing="1"/>
        <w:rPr>
          <w:rFonts w:ascii="Arial" w:eastAsia="Calibri" w:hAnsi="Arial" w:cs="Arial"/>
          <w:sz w:val="24"/>
          <w:szCs w:val="24"/>
        </w:rPr>
      </w:pPr>
      <w:r w:rsidRPr="000A670B">
        <w:rPr>
          <w:rFonts w:ascii="Arial" w:eastAsia="Calibri" w:hAnsi="Arial" w:cs="Arial"/>
          <w:sz w:val="24"/>
          <w:szCs w:val="24"/>
        </w:rPr>
        <w:t>Upholding the trader</w:t>
      </w:r>
      <w:r w:rsidR="00707F1F">
        <w:rPr>
          <w:rFonts w:ascii="Arial" w:eastAsia="Calibri" w:hAnsi="Arial" w:cs="Arial"/>
          <w:sz w:val="24"/>
          <w:szCs w:val="24"/>
        </w:rPr>
        <w:t>'</w:t>
      </w:r>
      <w:r w:rsidRPr="000A670B">
        <w:rPr>
          <w:rFonts w:ascii="Arial" w:eastAsia="Calibri" w:hAnsi="Arial" w:cs="Arial"/>
          <w:sz w:val="24"/>
          <w:szCs w:val="24"/>
        </w:rPr>
        <w:t xml:space="preserve">s claim, the Court noted that the woman had rightly conceded that her trading style and logo infringed the </w:t>
      </w:r>
      <w:proofErr w:type="gramStart"/>
      <w:r w:rsidRPr="000A670B">
        <w:rPr>
          <w:rFonts w:ascii="Arial" w:eastAsia="Calibri" w:hAnsi="Arial" w:cs="Arial"/>
          <w:sz w:val="24"/>
          <w:szCs w:val="24"/>
        </w:rPr>
        <w:t>trade marks</w:t>
      </w:r>
      <w:proofErr w:type="gramEnd"/>
      <w:r w:rsidRPr="000A670B">
        <w:rPr>
          <w:rFonts w:ascii="Arial" w:eastAsia="Calibri" w:hAnsi="Arial" w:cs="Arial"/>
          <w:sz w:val="24"/>
          <w:szCs w:val="24"/>
        </w:rPr>
        <w:t xml:space="preserve">. The conceptual, visual and aural similarities between them created a likelihood of customer confusion. Given that the </w:t>
      </w:r>
      <w:proofErr w:type="gramStart"/>
      <w:r w:rsidRPr="000A670B">
        <w:rPr>
          <w:rFonts w:ascii="Arial" w:eastAsia="Calibri" w:hAnsi="Arial" w:cs="Arial"/>
          <w:sz w:val="24"/>
          <w:szCs w:val="24"/>
        </w:rPr>
        <w:t>trade marks</w:t>
      </w:r>
      <w:proofErr w:type="gramEnd"/>
      <w:r w:rsidRPr="000A670B">
        <w:rPr>
          <w:rFonts w:ascii="Arial" w:eastAsia="Calibri" w:hAnsi="Arial" w:cs="Arial"/>
          <w:sz w:val="24"/>
          <w:szCs w:val="24"/>
        </w:rPr>
        <w:t xml:space="preserve"> were enforceable nationwide, it was irrelevant that she and the trader operated in different parts of the country.</w:t>
      </w:r>
    </w:p>
    <w:p w14:paraId="74BADCAE" w14:textId="605027B1" w:rsidR="000A670B" w:rsidRPr="000A670B" w:rsidRDefault="000A670B" w:rsidP="000A670B">
      <w:pPr>
        <w:spacing w:before="100" w:beforeAutospacing="1" w:after="100" w:afterAutospacing="1"/>
        <w:rPr>
          <w:rFonts w:ascii="Arial" w:eastAsia="Calibri" w:hAnsi="Arial" w:cs="Arial"/>
          <w:sz w:val="24"/>
          <w:szCs w:val="24"/>
        </w:rPr>
      </w:pPr>
      <w:r w:rsidRPr="000A670B">
        <w:rPr>
          <w:rFonts w:ascii="Arial" w:eastAsia="Calibri" w:hAnsi="Arial" w:cs="Arial"/>
          <w:sz w:val="24"/>
          <w:szCs w:val="24"/>
        </w:rPr>
        <w:t xml:space="preserve">When faced </w:t>
      </w:r>
      <w:r w:rsidR="00BE4BEB">
        <w:rPr>
          <w:rFonts w:ascii="Arial" w:eastAsia="Calibri" w:hAnsi="Arial" w:cs="Arial"/>
          <w:sz w:val="24"/>
          <w:szCs w:val="24"/>
        </w:rPr>
        <w:t>with</w:t>
      </w:r>
      <w:r w:rsidR="00BE4BEB" w:rsidRPr="000A670B">
        <w:rPr>
          <w:rFonts w:ascii="Arial" w:eastAsia="Calibri" w:hAnsi="Arial" w:cs="Arial"/>
          <w:sz w:val="24"/>
          <w:szCs w:val="24"/>
        </w:rPr>
        <w:t xml:space="preserve"> </w:t>
      </w:r>
      <w:r w:rsidRPr="000A670B">
        <w:rPr>
          <w:rFonts w:ascii="Arial" w:eastAsia="Calibri" w:hAnsi="Arial" w:cs="Arial"/>
          <w:sz w:val="24"/>
          <w:szCs w:val="24"/>
        </w:rPr>
        <w:t>the trader</w:t>
      </w:r>
      <w:r w:rsidR="00707F1F">
        <w:rPr>
          <w:rFonts w:ascii="Arial" w:eastAsia="Calibri" w:hAnsi="Arial" w:cs="Arial"/>
          <w:sz w:val="24"/>
          <w:szCs w:val="24"/>
        </w:rPr>
        <w:t>'</w:t>
      </w:r>
      <w:r w:rsidRPr="000A670B">
        <w:rPr>
          <w:rFonts w:ascii="Arial" w:eastAsia="Calibri" w:hAnsi="Arial" w:cs="Arial"/>
          <w:sz w:val="24"/>
          <w:szCs w:val="24"/>
        </w:rPr>
        <w:t xml:space="preserve">s complaint, the woman had changed the name of her business </w:t>
      </w:r>
      <w:proofErr w:type="gramStart"/>
      <w:r w:rsidRPr="000A670B">
        <w:rPr>
          <w:rFonts w:ascii="Arial" w:eastAsia="Calibri" w:hAnsi="Arial" w:cs="Arial"/>
          <w:sz w:val="24"/>
          <w:szCs w:val="24"/>
        </w:rPr>
        <w:t>so as to</w:t>
      </w:r>
      <w:proofErr w:type="gramEnd"/>
      <w:r w:rsidRPr="000A670B">
        <w:rPr>
          <w:rFonts w:ascii="Arial" w:eastAsia="Calibri" w:hAnsi="Arial" w:cs="Arial"/>
          <w:sz w:val="24"/>
          <w:szCs w:val="24"/>
        </w:rPr>
        <w:t xml:space="preserve"> replace the word </w:t>
      </w:r>
      <w:r w:rsidR="00707F1F">
        <w:rPr>
          <w:rFonts w:ascii="Arial" w:eastAsia="Calibri" w:hAnsi="Arial" w:cs="Arial"/>
          <w:sz w:val="24"/>
          <w:szCs w:val="24"/>
        </w:rPr>
        <w:t>'</w:t>
      </w:r>
      <w:r w:rsidRPr="000A670B">
        <w:rPr>
          <w:rFonts w:ascii="Arial" w:eastAsia="Calibri" w:hAnsi="Arial" w:cs="Arial"/>
          <w:sz w:val="24"/>
          <w:szCs w:val="24"/>
        </w:rPr>
        <w:t>angel</w:t>
      </w:r>
      <w:r w:rsidR="00707F1F">
        <w:rPr>
          <w:rFonts w:ascii="Arial" w:eastAsia="Calibri" w:hAnsi="Arial" w:cs="Arial"/>
          <w:sz w:val="24"/>
          <w:szCs w:val="24"/>
        </w:rPr>
        <w:t>'</w:t>
      </w:r>
      <w:r w:rsidRPr="000A670B">
        <w:rPr>
          <w:rFonts w:ascii="Arial" w:eastAsia="Calibri" w:hAnsi="Arial" w:cs="Arial"/>
          <w:sz w:val="24"/>
          <w:szCs w:val="24"/>
        </w:rPr>
        <w:t xml:space="preserve"> with </w:t>
      </w:r>
      <w:r w:rsidR="00707F1F">
        <w:rPr>
          <w:rFonts w:ascii="Arial" w:eastAsia="Calibri" w:hAnsi="Arial" w:cs="Arial"/>
          <w:sz w:val="24"/>
          <w:szCs w:val="24"/>
        </w:rPr>
        <w:t>'</w:t>
      </w:r>
      <w:r w:rsidRPr="000A670B">
        <w:rPr>
          <w:rFonts w:ascii="Arial" w:eastAsia="Calibri" w:hAnsi="Arial" w:cs="Arial"/>
          <w:sz w:val="24"/>
          <w:szCs w:val="24"/>
        </w:rPr>
        <w:t>archangel</w:t>
      </w:r>
      <w:r w:rsidR="00707F1F">
        <w:rPr>
          <w:rFonts w:ascii="Arial" w:eastAsia="Calibri" w:hAnsi="Arial" w:cs="Arial"/>
          <w:sz w:val="24"/>
          <w:szCs w:val="24"/>
        </w:rPr>
        <w:t>'</w:t>
      </w:r>
      <w:r w:rsidR="00BE4BEB">
        <w:rPr>
          <w:rFonts w:ascii="Arial" w:eastAsia="Calibri" w:hAnsi="Arial" w:cs="Arial"/>
          <w:sz w:val="24"/>
          <w:szCs w:val="24"/>
        </w:rPr>
        <w:t>.</w:t>
      </w:r>
      <w:r w:rsidRPr="000A670B">
        <w:rPr>
          <w:rFonts w:ascii="Arial" w:eastAsia="Calibri" w:hAnsi="Arial" w:cs="Arial"/>
          <w:sz w:val="24"/>
          <w:szCs w:val="24"/>
        </w:rPr>
        <w:t xml:space="preserve"> The Court, however, ruled that that change did not go far enough to dispel the likelihood of customer confusion and the new name also amounted to a </w:t>
      </w:r>
      <w:proofErr w:type="gramStart"/>
      <w:r w:rsidRPr="000A670B">
        <w:rPr>
          <w:rFonts w:ascii="Arial" w:eastAsia="Calibri" w:hAnsi="Arial" w:cs="Arial"/>
          <w:sz w:val="24"/>
          <w:szCs w:val="24"/>
        </w:rPr>
        <w:t>trade mark</w:t>
      </w:r>
      <w:proofErr w:type="gramEnd"/>
      <w:r w:rsidRPr="000A670B">
        <w:rPr>
          <w:rFonts w:ascii="Arial" w:eastAsia="Calibri" w:hAnsi="Arial" w:cs="Arial"/>
          <w:sz w:val="24"/>
          <w:szCs w:val="24"/>
        </w:rPr>
        <w:t xml:space="preserve"> infringement.</w:t>
      </w:r>
    </w:p>
    <w:p w14:paraId="3FB0E843" w14:textId="1A1DC55F" w:rsidR="000A670B" w:rsidRDefault="000A670B" w:rsidP="000A670B">
      <w:pPr>
        <w:spacing w:before="100" w:beforeAutospacing="1" w:after="100" w:afterAutospacing="1"/>
        <w:rPr>
          <w:rFonts w:ascii="Arial" w:eastAsia="Calibri" w:hAnsi="Arial" w:cs="Arial"/>
          <w:sz w:val="24"/>
          <w:szCs w:val="24"/>
        </w:rPr>
      </w:pPr>
      <w:r w:rsidRPr="000A670B">
        <w:rPr>
          <w:rFonts w:ascii="Arial" w:eastAsia="Calibri" w:hAnsi="Arial" w:cs="Arial"/>
          <w:sz w:val="24"/>
          <w:szCs w:val="24"/>
        </w:rPr>
        <w:t>Entering summary judgment in the trader</w:t>
      </w:r>
      <w:r w:rsidR="00707F1F">
        <w:rPr>
          <w:rFonts w:ascii="Arial" w:eastAsia="Calibri" w:hAnsi="Arial" w:cs="Arial"/>
          <w:sz w:val="24"/>
          <w:szCs w:val="24"/>
        </w:rPr>
        <w:t>'</w:t>
      </w:r>
      <w:r w:rsidRPr="000A670B">
        <w:rPr>
          <w:rFonts w:ascii="Arial" w:eastAsia="Calibri" w:hAnsi="Arial" w:cs="Arial"/>
          <w:sz w:val="24"/>
          <w:szCs w:val="24"/>
        </w:rPr>
        <w:t>s favour, the Court ruled that the woman had no reasonably arguable defence to the claim. The Court heard further argument as to the terms of its order</w:t>
      </w:r>
      <w:r w:rsidR="00D262AE">
        <w:rPr>
          <w:rFonts w:ascii="Arial" w:eastAsia="Calibri" w:hAnsi="Arial" w:cs="Arial"/>
          <w:sz w:val="24"/>
          <w:szCs w:val="24"/>
        </w:rPr>
        <w:t>.</w:t>
      </w:r>
      <w:r w:rsidRPr="000A670B">
        <w:rPr>
          <w:rFonts w:ascii="Arial" w:eastAsia="Calibri" w:hAnsi="Arial" w:cs="Arial"/>
          <w:sz w:val="24"/>
          <w:szCs w:val="24"/>
        </w:rPr>
        <w:t xml:space="preserve"> </w:t>
      </w:r>
      <w:r w:rsidR="00D262AE">
        <w:rPr>
          <w:rFonts w:ascii="Arial" w:eastAsia="Calibri" w:hAnsi="Arial" w:cs="Arial"/>
          <w:sz w:val="24"/>
          <w:szCs w:val="24"/>
        </w:rPr>
        <w:t>I</w:t>
      </w:r>
      <w:r w:rsidRPr="000A670B">
        <w:rPr>
          <w:rFonts w:ascii="Arial" w:eastAsia="Calibri" w:hAnsi="Arial" w:cs="Arial"/>
          <w:sz w:val="24"/>
          <w:szCs w:val="24"/>
        </w:rPr>
        <w:t>ssues concerning the financial or other relief to which the trader was entitled would be considered at another hearing, if not agreed.</w:t>
      </w:r>
    </w:p>
    <w:p w14:paraId="7DABBE1C" w14:textId="1F4F957A" w:rsidR="000A670B" w:rsidRPr="00A025F2" w:rsidRDefault="000A670B" w:rsidP="000A670B">
      <w:pPr>
        <w:spacing w:before="100" w:beforeAutospacing="1" w:after="100" w:afterAutospacing="1"/>
        <w:rPr>
          <w:rFonts w:ascii="Arial" w:eastAsia="Calibri" w:hAnsi="Arial" w:cs="Arial"/>
          <w:sz w:val="24"/>
          <w:szCs w:val="24"/>
        </w:rPr>
      </w:pPr>
      <w:r>
        <w:rPr>
          <w:rFonts w:ascii="Arial" w:eastAsia="Calibri" w:hAnsi="Arial" w:cs="Arial"/>
          <w:sz w:val="24"/>
          <w:szCs w:val="24"/>
        </w:rPr>
        <w:t xml:space="preserve">For expert advice regarding </w:t>
      </w:r>
      <w:proofErr w:type="gramStart"/>
      <w:r>
        <w:rPr>
          <w:rFonts w:ascii="Arial" w:eastAsia="Calibri" w:hAnsi="Arial" w:cs="Arial"/>
          <w:sz w:val="24"/>
          <w:szCs w:val="24"/>
        </w:rPr>
        <w:t>trade</w:t>
      </w:r>
      <w:r w:rsidR="00D262AE">
        <w:rPr>
          <w:rFonts w:ascii="Arial" w:eastAsia="Calibri" w:hAnsi="Arial" w:cs="Arial"/>
          <w:sz w:val="24"/>
          <w:szCs w:val="24"/>
        </w:rPr>
        <w:t xml:space="preserve"> </w:t>
      </w:r>
      <w:r>
        <w:rPr>
          <w:rFonts w:ascii="Arial" w:eastAsia="Calibri" w:hAnsi="Arial" w:cs="Arial"/>
          <w:sz w:val="24"/>
          <w:szCs w:val="24"/>
        </w:rPr>
        <w:t>mark</w:t>
      </w:r>
      <w:proofErr w:type="gramEnd"/>
      <w:r>
        <w:rPr>
          <w:rFonts w:ascii="Arial" w:eastAsia="Calibri" w:hAnsi="Arial" w:cs="Arial"/>
          <w:sz w:val="24"/>
          <w:szCs w:val="24"/>
        </w:rPr>
        <w:t xml:space="preserve"> infringement or any other matters relating to intellectual property, contact </w:t>
      </w:r>
      <w:r w:rsidRPr="00920595">
        <w:rPr>
          <w:rFonts w:ascii="Arial" w:eastAsia="Calibri" w:hAnsi="Arial" w:cs="Arial"/>
          <w:color w:val="FF0000"/>
          <w:sz w:val="24"/>
          <w:szCs w:val="24"/>
        </w:rPr>
        <w:t>&lt;&lt;CONTACT DETAILS&gt;&gt;</w:t>
      </w:r>
      <w:r w:rsidR="00A025F2" w:rsidRPr="00A025F2">
        <w:rPr>
          <w:rFonts w:ascii="Arial" w:eastAsia="Calibri" w:hAnsi="Arial" w:cs="Arial"/>
          <w:sz w:val="24"/>
          <w:szCs w:val="24"/>
        </w:rPr>
        <w:t>.</w:t>
      </w:r>
    </w:p>
    <w:p w14:paraId="00CB1F4C" w14:textId="77777777" w:rsidR="000A670B" w:rsidRPr="000A670B" w:rsidRDefault="000A670B" w:rsidP="000A670B">
      <w:pPr>
        <w:rPr>
          <w:rFonts w:ascii="Arial" w:eastAsia="Calibri" w:hAnsi="Arial" w:cs="Arial"/>
          <w:b/>
          <w:bCs/>
          <w:sz w:val="24"/>
          <w:szCs w:val="24"/>
        </w:rPr>
      </w:pPr>
      <w:r w:rsidRPr="000A670B">
        <w:rPr>
          <w:rFonts w:ascii="Arial" w:eastAsia="Calibri" w:hAnsi="Arial" w:cs="Arial"/>
          <w:b/>
          <w:bCs/>
          <w:sz w:val="24"/>
          <w:szCs w:val="24"/>
        </w:rPr>
        <w:t>Partner Note</w:t>
      </w:r>
    </w:p>
    <w:p w14:paraId="0B7C48A1" w14:textId="77777777" w:rsidR="000A670B" w:rsidRPr="000A670B" w:rsidRDefault="000A670B" w:rsidP="000A670B">
      <w:pPr>
        <w:rPr>
          <w:rFonts w:ascii="Arial" w:eastAsia="Calibri" w:hAnsi="Arial" w:cs="Arial"/>
          <w:sz w:val="24"/>
          <w:szCs w:val="24"/>
        </w:rPr>
      </w:pPr>
      <w:r w:rsidRPr="000A670B">
        <w:rPr>
          <w:rFonts w:ascii="Arial" w:eastAsia="Calibri" w:hAnsi="Arial" w:cs="Arial"/>
          <w:sz w:val="24"/>
          <w:szCs w:val="24"/>
        </w:rPr>
        <w:t>George v Bond [2020] EWHC 3863 (IPEC)</w:t>
      </w:r>
    </w:p>
    <w:p w14:paraId="3D52023A" w14:textId="2BDD4EFA" w:rsidR="004302D3" w:rsidRDefault="001E62D0" w:rsidP="00784C2B">
      <w:pPr>
        <w:spacing w:before="100" w:beforeAutospacing="1" w:after="100" w:afterAutospacing="1"/>
        <w:rPr>
          <w:rFonts w:ascii="Arial" w:hAnsi="Arial" w:cs="Arial"/>
          <w:sz w:val="28"/>
          <w:szCs w:val="28"/>
        </w:rPr>
      </w:pPr>
      <w:r>
        <w:rPr>
          <w:rFonts w:ascii="Arial" w:hAnsi="Arial" w:cs="Arial"/>
          <w:sz w:val="28"/>
          <w:szCs w:val="28"/>
        </w:rPr>
        <w:lastRenderedPageBreak/>
        <w:t>Prof</w:t>
      </w:r>
      <w:bookmarkStart w:id="11" w:name="_Hlk75810658"/>
      <w:r>
        <w:rPr>
          <w:rFonts w:ascii="Arial" w:hAnsi="Arial" w:cs="Arial"/>
          <w:sz w:val="28"/>
          <w:szCs w:val="28"/>
        </w:rPr>
        <w:t>ess</w:t>
      </w:r>
      <w:bookmarkEnd w:id="11"/>
      <w:r>
        <w:rPr>
          <w:rFonts w:ascii="Arial" w:hAnsi="Arial" w:cs="Arial"/>
          <w:sz w:val="28"/>
          <w:szCs w:val="28"/>
        </w:rPr>
        <w:t>ional Negligence</w:t>
      </w:r>
    </w:p>
    <w:p w14:paraId="642B98DF" w14:textId="6D37DB1B" w:rsidR="000A670B" w:rsidRPr="000A670B" w:rsidRDefault="000A670B" w:rsidP="00784C2B">
      <w:pPr>
        <w:spacing w:before="100" w:beforeAutospacing="1" w:after="100" w:afterAutospacing="1"/>
        <w:rPr>
          <w:rFonts w:ascii="Arial" w:hAnsi="Arial" w:cs="Arial"/>
          <w:b/>
          <w:bCs/>
          <w:sz w:val="24"/>
          <w:szCs w:val="24"/>
        </w:rPr>
      </w:pPr>
      <w:r w:rsidRPr="000A670B">
        <w:rPr>
          <w:rFonts w:ascii="Arial" w:hAnsi="Arial" w:cs="Arial"/>
          <w:b/>
          <w:bCs/>
          <w:sz w:val="24"/>
          <w:szCs w:val="24"/>
        </w:rPr>
        <w:t xml:space="preserve">Innocent Law Firm Partners Not </w:t>
      </w:r>
      <w:r w:rsidR="00707F1F">
        <w:rPr>
          <w:rFonts w:ascii="Arial" w:hAnsi="Arial" w:cs="Arial"/>
          <w:b/>
          <w:bCs/>
          <w:sz w:val="24"/>
          <w:szCs w:val="24"/>
        </w:rPr>
        <w:t>'</w:t>
      </w:r>
      <w:r w:rsidRPr="000A670B">
        <w:rPr>
          <w:rFonts w:ascii="Arial" w:hAnsi="Arial" w:cs="Arial"/>
          <w:b/>
          <w:bCs/>
          <w:sz w:val="24"/>
          <w:szCs w:val="24"/>
        </w:rPr>
        <w:t>Privy</w:t>
      </w:r>
      <w:r w:rsidR="00707F1F">
        <w:rPr>
          <w:rFonts w:ascii="Arial" w:hAnsi="Arial" w:cs="Arial"/>
          <w:b/>
          <w:bCs/>
          <w:sz w:val="24"/>
          <w:szCs w:val="24"/>
        </w:rPr>
        <w:t>'</w:t>
      </w:r>
      <w:r w:rsidRPr="000A670B">
        <w:rPr>
          <w:rFonts w:ascii="Arial" w:hAnsi="Arial" w:cs="Arial"/>
          <w:b/>
          <w:bCs/>
          <w:sz w:val="24"/>
          <w:szCs w:val="24"/>
        </w:rPr>
        <w:t xml:space="preserve"> to Colleague</w:t>
      </w:r>
      <w:r w:rsidR="00707F1F">
        <w:rPr>
          <w:rFonts w:ascii="Arial" w:hAnsi="Arial" w:cs="Arial"/>
          <w:b/>
          <w:bCs/>
          <w:sz w:val="24"/>
          <w:szCs w:val="24"/>
        </w:rPr>
        <w:t>'</w:t>
      </w:r>
      <w:r w:rsidRPr="000A670B">
        <w:rPr>
          <w:rFonts w:ascii="Arial" w:hAnsi="Arial" w:cs="Arial"/>
          <w:b/>
          <w:bCs/>
          <w:sz w:val="24"/>
          <w:szCs w:val="24"/>
        </w:rPr>
        <w:t>s Dishonest Acts</w:t>
      </w:r>
    </w:p>
    <w:p w14:paraId="046EA698" w14:textId="77777777" w:rsidR="000A670B" w:rsidRPr="000A670B" w:rsidRDefault="000A670B" w:rsidP="000A670B">
      <w:pPr>
        <w:spacing w:before="100" w:beforeAutospacing="1" w:after="100" w:afterAutospacing="1"/>
        <w:rPr>
          <w:rFonts w:ascii="Arial" w:hAnsi="Arial" w:cs="Arial"/>
          <w:sz w:val="24"/>
          <w:szCs w:val="24"/>
        </w:rPr>
      </w:pPr>
      <w:r w:rsidRPr="000A670B">
        <w:rPr>
          <w:rFonts w:ascii="Arial" w:hAnsi="Arial" w:cs="Arial"/>
          <w:sz w:val="24"/>
          <w:szCs w:val="24"/>
        </w:rPr>
        <w:t>If a partner in a professional firm defrauds a client, should his or her fellow partners be treated as privy to the fraud even if they are entirely innocent? In a ruling that broke new legal ground, the Court of Appeal answered that question decisively in the negative.</w:t>
      </w:r>
    </w:p>
    <w:p w14:paraId="3FC62FA6" w14:textId="56A5610C" w:rsidR="000A670B" w:rsidRPr="000A670B" w:rsidRDefault="000A670B" w:rsidP="000A670B">
      <w:pPr>
        <w:spacing w:before="100" w:beforeAutospacing="1" w:after="100" w:afterAutospacing="1"/>
        <w:rPr>
          <w:rFonts w:ascii="Arial" w:hAnsi="Arial" w:cs="Arial"/>
          <w:sz w:val="24"/>
          <w:szCs w:val="24"/>
        </w:rPr>
      </w:pPr>
      <w:r w:rsidRPr="000A670B">
        <w:rPr>
          <w:rFonts w:ascii="Arial" w:hAnsi="Arial" w:cs="Arial"/>
          <w:sz w:val="24"/>
          <w:szCs w:val="24"/>
        </w:rPr>
        <w:t>The case concerned a well-regarded law firm with three partners. Unbeknown to two of them, the other misappropriated millions of pounds from the firm</w:t>
      </w:r>
      <w:r w:rsidR="00707F1F">
        <w:rPr>
          <w:rFonts w:ascii="Arial" w:hAnsi="Arial" w:cs="Arial"/>
          <w:sz w:val="24"/>
          <w:szCs w:val="24"/>
        </w:rPr>
        <w:t>'</w:t>
      </w:r>
      <w:r w:rsidRPr="000A670B">
        <w:rPr>
          <w:rFonts w:ascii="Arial" w:hAnsi="Arial" w:cs="Arial"/>
          <w:sz w:val="24"/>
          <w:szCs w:val="24"/>
        </w:rPr>
        <w:t>s client account over a number of years. After being expelled from the partnership, she pleaded guilty to offences of dishonesty and was sentenced to a term of imprisonment. She was also struck off as a solicitor and the firm was subsequently obliged to close.</w:t>
      </w:r>
    </w:p>
    <w:p w14:paraId="0418A87B" w14:textId="5CD1D6D1" w:rsidR="000A670B" w:rsidRPr="000A670B" w:rsidRDefault="000A670B" w:rsidP="000A670B">
      <w:pPr>
        <w:spacing w:before="100" w:beforeAutospacing="1" w:after="100" w:afterAutospacing="1"/>
        <w:rPr>
          <w:rFonts w:ascii="Arial" w:hAnsi="Arial" w:cs="Arial"/>
          <w:sz w:val="24"/>
          <w:szCs w:val="24"/>
        </w:rPr>
      </w:pPr>
      <w:r w:rsidRPr="000A670B">
        <w:rPr>
          <w:rFonts w:ascii="Arial" w:hAnsi="Arial" w:cs="Arial"/>
          <w:sz w:val="24"/>
          <w:szCs w:val="24"/>
        </w:rPr>
        <w:t>A Church of England diocese for which the dishonest partner had acted for many years launched proceedings against the firm with a view to recovering its losses. The firm was alleged to be liable for the dishonest partner</w:t>
      </w:r>
      <w:r w:rsidR="00707F1F">
        <w:rPr>
          <w:rFonts w:ascii="Arial" w:hAnsi="Arial" w:cs="Arial"/>
          <w:sz w:val="24"/>
          <w:szCs w:val="24"/>
        </w:rPr>
        <w:t>'</w:t>
      </w:r>
      <w:r w:rsidRPr="000A670B">
        <w:rPr>
          <w:rFonts w:ascii="Arial" w:hAnsi="Arial" w:cs="Arial"/>
          <w:sz w:val="24"/>
          <w:szCs w:val="24"/>
        </w:rPr>
        <w:t>s wrongs under the Partnership Act 1890, those wrongs having been committed in the ordinary course of the firm</w:t>
      </w:r>
      <w:r w:rsidR="00707F1F">
        <w:rPr>
          <w:rFonts w:ascii="Arial" w:hAnsi="Arial" w:cs="Arial"/>
          <w:sz w:val="24"/>
          <w:szCs w:val="24"/>
        </w:rPr>
        <w:t>'</w:t>
      </w:r>
      <w:r w:rsidRPr="000A670B">
        <w:rPr>
          <w:rFonts w:ascii="Arial" w:hAnsi="Arial" w:cs="Arial"/>
          <w:sz w:val="24"/>
          <w:szCs w:val="24"/>
        </w:rPr>
        <w:t>s business and with the firm</w:t>
      </w:r>
      <w:r w:rsidR="00707F1F">
        <w:rPr>
          <w:rFonts w:ascii="Arial" w:hAnsi="Arial" w:cs="Arial"/>
          <w:sz w:val="24"/>
          <w:szCs w:val="24"/>
        </w:rPr>
        <w:t>'</w:t>
      </w:r>
      <w:r w:rsidRPr="000A670B">
        <w:rPr>
          <w:rFonts w:ascii="Arial" w:hAnsi="Arial" w:cs="Arial"/>
          <w:sz w:val="24"/>
          <w:szCs w:val="24"/>
        </w:rPr>
        <w:t>s apparent authority. Although the innocent partners had no inkling of their colleague</w:t>
      </w:r>
      <w:r w:rsidR="00707F1F">
        <w:rPr>
          <w:rFonts w:ascii="Arial" w:hAnsi="Arial" w:cs="Arial"/>
          <w:sz w:val="24"/>
          <w:szCs w:val="24"/>
        </w:rPr>
        <w:t>'</w:t>
      </w:r>
      <w:r w:rsidRPr="000A670B">
        <w:rPr>
          <w:rFonts w:ascii="Arial" w:hAnsi="Arial" w:cs="Arial"/>
          <w:sz w:val="24"/>
          <w:szCs w:val="24"/>
        </w:rPr>
        <w:t>s dishonesty, the firm was said to be liable for her fraudulent breaches of trust.</w:t>
      </w:r>
    </w:p>
    <w:p w14:paraId="5936A887" w14:textId="00C0DA13" w:rsidR="000A670B" w:rsidRPr="000A670B" w:rsidRDefault="000A670B" w:rsidP="000A670B">
      <w:pPr>
        <w:spacing w:before="100" w:beforeAutospacing="1" w:after="100" w:afterAutospacing="1"/>
        <w:rPr>
          <w:rFonts w:ascii="Arial" w:hAnsi="Arial" w:cs="Arial"/>
          <w:sz w:val="24"/>
          <w:szCs w:val="24"/>
        </w:rPr>
      </w:pPr>
      <w:r w:rsidRPr="000A670B">
        <w:rPr>
          <w:rFonts w:ascii="Arial" w:hAnsi="Arial" w:cs="Arial"/>
          <w:sz w:val="24"/>
          <w:szCs w:val="24"/>
        </w:rPr>
        <w:t>Following a hearing, a judge ordered the firm to give an account of all its dealings with money, investments and assets possessed or received by the firm or the dishonest partner as trustees of the diocese. The order embraced four property transactions that pre-dated the issue of the diocese</w:t>
      </w:r>
      <w:r w:rsidR="00707F1F">
        <w:rPr>
          <w:rFonts w:ascii="Arial" w:hAnsi="Arial" w:cs="Arial"/>
          <w:sz w:val="24"/>
          <w:szCs w:val="24"/>
        </w:rPr>
        <w:t>'</w:t>
      </w:r>
      <w:r w:rsidRPr="000A670B">
        <w:rPr>
          <w:rFonts w:ascii="Arial" w:hAnsi="Arial" w:cs="Arial"/>
          <w:sz w:val="24"/>
          <w:szCs w:val="24"/>
        </w:rPr>
        <w:t>s claim form by more than six years.</w:t>
      </w:r>
    </w:p>
    <w:p w14:paraId="20F3EF8C" w14:textId="5C4B27E5" w:rsidR="000A670B" w:rsidRPr="000A670B" w:rsidRDefault="000A670B" w:rsidP="000A670B">
      <w:pPr>
        <w:spacing w:before="100" w:beforeAutospacing="1" w:after="100" w:afterAutospacing="1"/>
        <w:rPr>
          <w:rFonts w:ascii="Arial" w:hAnsi="Arial" w:cs="Arial"/>
          <w:sz w:val="24"/>
          <w:szCs w:val="24"/>
        </w:rPr>
      </w:pPr>
      <w:r w:rsidRPr="000A670B">
        <w:rPr>
          <w:rFonts w:ascii="Arial" w:hAnsi="Arial" w:cs="Arial"/>
          <w:sz w:val="24"/>
          <w:szCs w:val="24"/>
        </w:rPr>
        <w:t>The judge disapplied the six-year time limit that normally applies to breach of trust claims by virtue of Section 21 of the Limitation Act 1980. He did so on the basis that the Partnership Act not only made the innocent partners liable for the fraudulent partner</w:t>
      </w:r>
      <w:r w:rsidR="00707F1F">
        <w:rPr>
          <w:rFonts w:ascii="Arial" w:hAnsi="Arial" w:cs="Arial"/>
          <w:sz w:val="24"/>
          <w:szCs w:val="24"/>
        </w:rPr>
        <w:t>'</w:t>
      </w:r>
      <w:r w:rsidRPr="000A670B">
        <w:rPr>
          <w:rFonts w:ascii="Arial" w:hAnsi="Arial" w:cs="Arial"/>
          <w:sz w:val="24"/>
          <w:szCs w:val="24"/>
        </w:rPr>
        <w:t>s acts but also made them privy to those acts.</w:t>
      </w:r>
    </w:p>
    <w:p w14:paraId="60434F8B" w14:textId="37B29B10" w:rsidR="000A670B" w:rsidRDefault="000A670B" w:rsidP="00BF1EE6">
      <w:pPr>
        <w:spacing w:before="100" w:beforeAutospacing="1" w:after="100" w:afterAutospacing="1"/>
        <w:rPr>
          <w:rFonts w:ascii="Arial" w:hAnsi="Arial" w:cs="Arial"/>
          <w:sz w:val="24"/>
          <w:szCs w:val="24"/>
        </w:rPr>
      </w:pPr>
      <w:r w:rsidRPr="000A670B">
        <w:rPr>
          <w:rFonts w:ascii="Arial" w:hAnsi="Arial" w:cs="Arial"/>
          <w:sz w:val="24"/>
          <w:szCs w:val="24"/>
        </w:rPr>
        <w:t>Allowing the firm</w:t>
      </w:r>
      <w:r w:rsidR="00707F1F">
        <w:rPr>
          <w:rFonts w:ascii="Arial" w:hAnsi="Arial" w:cs="Arial"/>
          <w:sz w:val="24"/>
          <w:szCs w:val="24"/>
        </w:rPr>
        <w:t>'</w:t>
      </w:r>
      <w:r w:rsidRPr="000A670B">
        <w:rPr>
          <w:rFonts w:ascii="Arial" w:hAnsi="Arial" w:cs="Arial"/>
          <w:sz w:val="24"/>
          <w:szCs w:val="24"/>
        </w:rPr>
        <w:t>s appeal against that ruling, the Court noted that the case raised an issue on which there was no apparent previous authority. There was nothing in the wording of the Partnership Act that had the surprising effect of rendering the innocent partners privy to the dishonest partner</w:t>
      </w:r>
      <w:r w:rsidR="00707F1F">
        <w:rPr>
          <w:rFonts w:ascii="Arial" w:hAnsi="Arial" w:cs="Arial"/>
          <w:sz w:val="24"/>
          <w:szCs w:val="24"/>
        </w:rPr>
        <w:t>'</w:t>
      </w:r>
      <w:r w:rsidRPr="000A670B">
        <w:rPr>
          <w:rFonts w:ascii="Arial" w:hAnsi="Arial" w:cs="Arial"/>
          <w:sz w:val="24"/>
          <w:szCs w:val="24"/>
        </w:rPr>
        <w:t>s acts merely by reason of the partnership relationship. In respect of the four transactions, the firm was thus entitled to rely on the six-year limitation period as a defence to the diocese</w:t>
      </w:r>
      <w:r w:rsidR="00707F1F">
        <w:rPr>
          <w:rFonts w:ascii="Arial" w:hAnsi="Arial" w:cs="Arial"/>
          <w:sz w:val="24"/>
          <w:szCs w:val="24"/>
        </w:rPr>
        <w:t>'</w:t>
      </w:r>
      <w:r w:rsidRPr="000A670B">
        <w:rPr>
          <w:rFonts w:ascii="Arial" w:hAnsi="Arial" w:cs="Arial"/>
          <w:sz w:val="24"/>
          <w:szCs w:val="24"/>
        </w:rPr>
        <w:t>s claim.</w:t>
      </w:r>
    </w:p>
    <w:p w14:paraId="032217F4" w14:textId="2D20D976" w:rsidR="00DC40D7" w:rsidRPr="000A670B" w:rsidRDefault="00DC40D7" w:rsidP="00BF1EE6">
      <w:pPr>
        <w:spacing w:before="100" w:beforeAutospacing="1" w:after="100" w:afterAutospacing="1"/>
        <w:rPr>
          <w:rFonts w:ascii="Arial" w:hAnsi="Arial" w:cs="Arial"/>
          <w:sz w:val="24"/>
          <w:szCs w:val="24"/>
        </w:rPr>
      </w:pPr>
      <w:r>
        <w:rPr>
          <w:rFonts w:ascii="Arial" w:eastAsia="Calibri" w:hAnsi="Arial" w:cs="Arial"/>
          <w:sz w:val="24"/>
          <w:szCs w:val="24"/>
        </w:rPr>
        <w:t>For expert legal advice on any matters relating to professional negligence</w:t>
      </w:r>
      <w:r w:rsidR="002D59EC">
        <w:rPr>
          <w:rFonts w:ascii="Arial" w:eastAsia="Calibri" w:hAnsi="Arial" w:cs="Arial"/>
          <w:sz w:val="24"/>
          <w:szCs w:val="24"/>
        </w:rPr>
        <w:t>,</w:t>
      </w:r>
      <w:r>
        <w:rPr>
          <w:rFonts w:ascii="Arial" w:eastAsia="Calibri" w:hAnsi="Arial" w:cs="Arial"/>
          <w:sz w:val="24"/>
          <w:szCs w:val="24"/>
        </w:rPr>
        <w:t xml:space="preserve"> contact </w:t>
      </w:r>
      <w:r w:rsidRPr="00920595">
        <w:rPr>
          <w:rFonts w:ascii="Arial" w:eastAsia="Calibri" w:hAnsi="Arial" w:cs="Arial"/>
          <w:color w:val="FF0000"/>
          <w:sz w:val="24"/>
          <w:szCs w:val="24"/>
        </w:rPr>
        <w:t>&lt;&lt;CONTACT DETAILS&gt;&gt;</w:t>
      </w:r>
      <w:r>
        <w:rPr>
          <w:rFonts w:ascii="Arial" w:eastAsia="Calibri" w:hAnsi="Arial" w:cs="Arial"/>
          <w:sz w:val="24"/>
          <w:szCs w:val="24"/>
        </w:rPr>
        <w:t>.</w:t>
      </w:r>
    </w:p>
    <w:p w14:paraId="26EF95CF" w14:textId="4F029AC1" w:rsidR="000C544F" w:rsidRDefault="00663520" w:rsidP="002C46A5">
      <w:pPr>
        <w:spacing w:before="100" w:beforeAutospacing="1" w:after="100" w:afterAutospacing="1"/>
        <w:rPr>
          <w:rFonts w:ascii="Arial" w:hAnsi="Arial" w:cs="Arial"/>
          <w:sz w:val="28"/>
          <w:szCs w:val="28"/>
        </w:rPr>
      </w:pPr>
      <w:bookmarkStart w:id="12" w:name="_Hlk67833343"/>
      <w:r>
        <w:rPr>
          <w:rFonts w:ascii="Arial" w:hAnsi="Arial" w:cs="Arial"/>
          <w:sz w:val="28"/>
          <w:szCs w:val="28"/>
        </w:rPr>
        <w:t>Employment</w:t>
      </w:r>
    </w:p>
    <w:p w14:paraId="5C4C09F3" w14:textId="77777777" w:rsidR="00707F1F" w:rsidRPr="00707F1F" w:rsidRDefault="00707F1F" w:rsidP="00707F1F">
      <w:pPr>
        <w:spacing w:before="100" w:beforeAutospacing="1" w:after="100" w:afterAutospacing="1"/>
        <w:rPr>
          <w:rFonts w:ascii="Arial" w:eastAsia="Calibri" w:hAnsi="Arial" w:cs="Arial"/>
          <w:b/>
          <w:bCs/>
          <w:sz w:val="24"/>
          <w:szCs w:val="24"/>
        </w:rPr>
      </w:pPr>
      <w:bookmarkStart w:id="13" w:name="_Hlk78200962"/>
      <w:r w:rsidRPr="00707F1F">
        <w:rPr>
          <w:rFonts w:ascii="Arial" w:eastAsia="Calibri" w:hAnsi="Arial" w:cs="Arial"/>
          <w:b/>
          <w:bCs/>
          <w:sz w:val="24"/>
          <w:szCs w:val="24"/>
        </w:rPr>
        <w:t>Employer Pays High Price for Turning Blind Eye to 'Toxic' Office Culture</w:t>
      </w:r>
    </w:p>
    <w:bookmarkEnd w:id="13"/>
    <w:p w14:paraId="6C26A79C" w14:textId="71219592" w:rsidR="00707F1F" w:rsidRPr="00707F1F" w:rsidRDefault="00707F1F" w:rsidP="00707F1F">
      <w:pPr>
        <w:spacing w:before="100" w:beforeAutospacing="1" w:after="100" w:afterAutospacing="1"/>
        <w:rPr>
          <w:rFonts w:ascii="Arial" w:eastAsia="Calibri" w:hAnsi="Arial" w:cs="Arial"/>
          <w:sz w:val="24"/>
          <w:szCs w:val="24"/>
        </w:rPr>
      </w:pPr>
      <w:r w:rsidRPr="00707F1F">
        <w:rPr>
          <w:rFonts w:ascii="Arial" w:eastAsia="Calibri" w:hAnsi="Arial" w:cs="Arial"/>
          <w:sz w:val="24"/>
          <w:szCs w:val="24"/>
        </w:rPr>
        <w:t xml:space="preserve">Banter is one thing, but employers who turn a blind eye to workplaces descending into toxic arenas of discriminatory abuse can expect to reap a bitter harvest. That </w:t>
      </w:r>
      <w:r w:rsidRPr="00707F1F">
        <w:rPr>
          <w:rFonts w:ascii="Arial" w:eastAsia="Calibri" w:hAnsi="Arial" w:cs="Arial"/>
          <w:sz w:val="24"/>
          <w:szCs w:val="24"/>
        </w:rPr>
        <w:lastRenderedPageBreak/>
        <w:t>was certainly so in one case in which an Employment Tribunal (ET) order</w:t>
      </w:r>
      <w:r w:rsidR="006147E8">
        <w:rPr>
          <w:rFonts w:ascii="Arial" w:eastAsia="Calibri" w:hAnsi="Arial" w:cs="Arial"/>
          <w:sz w:val="24"/>
          <w:szCs w:val="24"/>
        </w:rPr>
        <w:t>ed</w:t>
      </w:r>
      <w:r w:rsidRPr="00707F1F">
        <w:rPr>
          <w:rFonts w:ascii="Arial" w:eastAsia="Calibri" w:hAnsi="Arial" w:cs="Arial"/>
          <w:sz w:val="24"/>
          <w:szCs w:val="24"/>
        </w:rPr>
        <w:t xml:space="preserve"> a company to pay substantial compensation to a gay former employee who was on the receiving end of a torrent of homophobic slurs</w:t>
      </w:r>
      <w:r>
        <w:rPr>
          <w:rFonts w:ascii="Arial" w:eastAsia="Calibri" w:hAnsi="Arial" w:cs="Arial"/>
          <w:sz w:val="24"/>
          <w:szCs w:val="24"/>
        </w:rPr>
        <w:t>.</w:t>
      </w:r>
      <w:bookmarkStart w:id="14" w:name="_Hlk78532921"/>
    </w:p>
    <w:bookmarkEnd w:id="14"/>
    <w:p w14:paraId="21F900F0" w14:textId="77777777" w:rsidR="00707F1F" w:rsidRPr="00707F1F" w:rsidRDefault="00707F1F" w:rsidP="00707F1F">
      <w:pPr>
        <w:spacing w:before="100" w:beforeAutospacing="1" w:after="100" w:afterAutospacing="1"/>
        <w:rPr>
          <w:rFonts w:ascii="Arial" w:eastAsia="Calibri" w:hAnsi="Arial" w:cs="Arial"/>
          <w:sz w:val="24"/>
          <w:szCs w:val="24"/>
        </w:rPr>
      </w:pPr>
      <w:r w:rsidRPr="00707F1F">
        <w:rPr>
          <w:rFonts w:ascii="Arial" w:eastAsia="Calibri" w:hAnsi="Arial" w:cs="Arial"/>
          <w:sz w:val="24"/>
          <w:szCs w:val="24"/>
        </w:rPr>
        <w:t xml:space="preserve">The ET found that the culture in the office where the man worked as an energy consultant was accurately described as toxic, involving daily use of homophobic, </w:t>
      </w:r>
      <w:proofErr w:type="gramStart"/>
      <w:r w:rsidRPr="00707F1F">
        <w:rPr>
          <w:rFonts w:ascii="Arial" w:eastAsia="Calibri" w:hAnsi="Arial" w:cs="Arial"/>
          <w:sz w:val="24"/>
          <w:szCs w:val="24"/>
        </w:rPr>
        <w:t>racist</w:t>
      </w:r>
      <w:proofErr w:type="gramEnd"/>
      <w:r w:rsidRPr="00707F1F">
        <w:rPr>
          <w:rFonts w:ascii="Arial" w:eastAsia="Calibri" w:hAnsi="Arial" w:cs="Arial"/>
          <w:sz w:val="24"/>
          <w:szCs w:val="24"/>
        </w:rPr>
        <w:t xml:space="preserve"> and anti-Semitic language, in which some managers and senior employees actively engaged, treating it as acceptable banter.</w:t>
      </w:r>
    </w:p>
    <w:p w14:paraId="68A5B500" w14:textId="77777777" w:rsidR="00707F1F" w:rsidRPr="00707F1F" w:rsidRDefault="00707F1F" w:rsidP="00707F1F">
      <w:pPr>
        <w:spacing w:before="100" w:beforeAutospacing="1" w:after="100" w:afterAutospacing="1"/>
        <w:rPr>
          <w:rFonts w:ascii="Arial" w:eastAsia="Calibri" w:hAnsi="Arial" w:cs="Arial"/>
          <w:sz w:val="24"/>
          <w:szCs w:val="24"/>
        </w:rPr>
      </w:pPr>
      <w:r w:rsidRPr="00707F1F">
        <w:rPr>
          <w:rFonts w:ascii="Arial" w:eastAsia="Calibri" w:hAnsi="Arial" w:cs="Arial"/>
          <w:sz w:val="24"/>
          <w:szCs w:val="24"/>
        </w:rPr>
        <w:t xml:space="preserve">No disciplinary action was taken against anyone involved and, although the company had in place what it described as a </w:t>
      </w:r>
      <w:bookmarkStart w:id="15" w:name="_Hlk78485499"/>
      <w:r w:rsidRPr="00707F1F">
        <w:rPr>
          <w:rFonts w:ascii="Arial" w:eastAsia="Calibri" w:hAnsi="Arial" w:cs="Arial"/>
          <w:sz w:val="24"/>
          <w:szCs w:val="24"/>
        </w:rPr>
        <w:t xml:space="preserve">zero-tolerance equality and diversity policy, </w:t>
      </w:r>
      <w:bookmarkEnd w:id="15"/>
      <w:r w:rsidRPr="00707F1F">
        <w:rPr>
          <w:rFonts w:ascii="Arial" w:eastAsia="Calibri" w:hAnsi="Arial" w:cs="Arial"/>
          <w:sz w:val="24"/>
          <w:szCs w:val="24"/>
        </w:rPr>
        <w:t>no effective measures were taken to achieve that objective. As a result of the foul-mouthed homophobic abuse to which the man was repeatedly subjected, he said that doing his job had become a living nightmare. He eventually resigned.</w:t>
      </w:r>
    </w:p>
    <w:p w14:paraId="381DBB95" w14:textId="77777777" w:rsidR="00707F1F" w:rsidRPr="00707F1F" w:rsidRDefault="00707F1F" w:rsidP="00707F1F">
      <w:pPr>
        <w:spacing w:before="100" w:beforeAutospacing="1" w:after="100" w:afterAutospacing="1"/>
        <w:rPr>
          <w:rFonts w:ascii="Arial" w:eastAsia="Calibri" w:hAnsi="Arial" w:cs="Arial"/>
          <w:sz w:val="24"/>
          <w:szCs w:val="24"/>
        </w:rPr>
      </w:pPr>
      <w:r w:rsidRPr="00707F1F">
        <w:rPr>
          <w:rFonts w:ascii="Arial" w:eastAsia="Calibri" w:hAnsi="Arial" w:cs="Arial"/>
          <w:sz w:val="24"/>
          <w:szCs w:val="24"/>
        </w:rPr>
        <w:t>In upholding his complaints of harassment due to his sexual orientation, constructive dismissal and victimisation, the ET found that he had suffered a very serious course of repeated and frequent homophobic abuse committed by, amongst others, senior employees and managers over a period of six months.</w:t>
      </w:r>
    </w:p>
    <w:p w14:paraId="67B22343" w14:textId="77777777" w:rsidR="00707F1F" w:rsidRPr="00707F1F" w:rsidRDefault="00707F1F" w:rsidP="00707F1F">
      <w:pPr>
        <w:spacing w:before="100" w:beforeAutospacing="1" w:after="100" w:afterAutospacing="1"/>
        <w:rPr>
          <w:rFonts w:ascii="Arial" w:eastAsia="Calibri" w:hAnsi="Arial" w:cs="Arial"/>
          <w:sz w:val="24"/>
          <w:szCs w:val="24"/>
        </w:rPr>
      </w:pPr>
      <w:r w:rsidRPr="00707F1F">
        <w:rPr>
          <w:rFonts w:ascii="Arial" w:eastAsia="Calibri" w:hAnsi="Arial" w:cs="Arial"/>
          <w:sz w:val="24"/>
          <w:szCs w:val="24"/>
        </w:rPr>
        <w:t>Also upholding his disability discrimination claim, the ET noted that, due to his dyslexia, he visibly struggled to meet the company's targets. Instead of supporting him and making reasonable adjustments to cater for his disability, he was shouted at and humiliated in front of colleagues to the point where he could no longer cope with the treatment and resigned.</w:t>
      </w:r>
    </w:p>
    <w:p w14:paraId="37FF9CE7" w14:textId="77777777" w:rsidR="00707F1F" w:rsidRPr="00707F1F" w:rsidRDefault="00707F1F" w:rsidP="00707F1F">
      <w:pPr>
        <w:spacing w:before="100" w:beforeAutospacing="1" w:after="100" w:afterAutospacing="1"/>
        <w:rPr>
          <w:rFonts w:ascii="Arial" w:eastAsia="Calibri" w:hAnsi="Arial" w:cs="Arial"/>
          <w:sz w:val="24"/>
          <w:szCs w:val="24"/>
        </w:rPr>
      </w:pPr>
      <w:r w:rsidRPr="00707F1F">
        <w:rPr>
          <w:rFonts w:ascii="Arial" w:eastAsia="Calibri" w:hAnsi="Arial" w:cs="Arial"/>
          <w:sz w:val="24"/>
          <w:szCs w:val="24"/>
        </w:rPr>
        <w:t xml:space="preserve">The ET found that the company had conducted the proceedings in an intimidating, oppressive and high-handed manner. In the face of clear evidence, it had steadfastly chosen to stand by the perpetrators as they unfairly sought to portray the man as a liar. The company had subjected the man to post-employment victimisation </w:t>
      </w:r>
      <w:proofErr w:type="gramStart"/>
      <w:r w:rsidRPr="00707F1F">
        <w:rPr>
          <w:rFonts w:ascii="Arial" w:eastAsia="Calibri" w:hAnsi="Arial" w:cs="Arial"/>
          <w:sz w:val="24"/>
          <w:szCs w:val="24"/>
        </w:rPr>
        <w:t>in an attempt to</w:t>
      </w:r>
      <w:proofErr w:type="gramEnd"/>
      <w:r w:rsidRPr="00707F1F">
        <w:rPr>
          <w:rFonts w:ascii="Arial" w:eastAsia="Calibri" w:hAnsi="Arial" w:cs="Arial"/>
          <w:sz w:val="24"/>
          <w:szCs w:val="24"/>
        </w:rPr>
        <w:t xml:space="preserve"> dissuade him from pursuing his harassment complaints and it was to his credit that he was not deterred from doing so.</w:t>
      </w:r>
    </w:p>
    <w:p w14:paraId="64332268" w14:textId="77777777" w:rsidR="00707F1F" w:rsidRPr="00707F1F" w:rsidRDefault="00707F1F" w:rsidP="00707F1F">
      <w:pPr>
        <w:spacing w:before="100" w:beforeAutospacing="1" w:after="100" w:afterAutospacing="1"/>
        <w:rPr>
          <w:rFonts w:ascii="Arial" w:eastAsia="Calibri" w:hAnsi="Arial" w:cs="Arial"/>
          <w:sz w:val="24"/>
          <w:szCs w:val="24"/>
        </w:rPr>
      </w:pPr>
      <w:r w:rsidRPr="00707F1F">
        <w:rPr>
          <w:rFonts w:ascii="Arial" w:eastAsia="Calibri" w:hAnsi="Arial" w:cs="Arial"/>
          <w:sz w:val="24"/>
          <w:szCs w:val="24"/>
        </w:rPr>
        <w:t>The man was awarded £20,000 in compensation for injury to his feelings and a further £10,000 in aggravated damages. Together with interest, his total award came to £36,707. Given the company's conduct of the proceedings, the ET also took the rare step of ordering it to pay a penalty of £18,353 pursuant to Section 12A of the Employment Tribunals Act 1996.</w:t>
      </w:r>
    </w:p>
    <w:p w14:paraId="18BBDD7B" w14:textId="013B3EEC" w:rsidR="00707F1F" w:rsidRDefault="00707F1F" w:rsidP="00707F1F">
      <w:pPr>
        <w:spacing w:before="100" w:beforeAutospacing="1" w:after="100" w:afterAutospacing="1"/>
        <w:rPr>
          <w:rFonts w:ascii="Arial" w:eastAsia="Calibri" w:hAnsi="Arial" w:cs="Arial"/>
          <w:sz w:val="24"/>
          <w:szCs w:val="24"/>
        </w:rPr>
      </w:pPr>
      <w:r w:rsidRPr="00707F1F">
        <w:rPr>
          <w:rFonts w:ascii="Arial" w:eastAsia="Calibri" w:hAnsi="Arial" w:cs="Arial"/>
          <w:sz w:val="24"/>
          <w:szCs w:val="24"/>
        </w:rPr>
        <w:t>Zero-tolerance equality and diversity policies in the workplace are meaningless unless they are effectively implemented and monitored. Our expert employment lawyers can advise.</w:t>
      </w:r>
    </w:p>
    <w:p w14:paraId="65FE2AEF" w14:textId="06CB1634" w:rsidR="00D262AE" w:rsidRPr="00D262AE" w:rsidRDefault="00D262AE" w:rsidP="00D262AE">
      <w:pPr>
        <w:rPr>
          <w:rFonts w:ascii="Arial" w:eastAsia="Calibri" w:hAnsi="Arial" w:cs="Arial"/>
          <w:b/>
          <w:sz w:val="24"/>
          <w:szCs w:val="24"/>
        </w:rPr>
      </w:pPr>
      <w:r>
        <w:rPr>
          <w:rFonts w:ascii="Arial" w:eastAsia="Calibri" w:hAnsi="Arial" w:cs="Arial"/>
          <w:b/>
          <w:sz w:val="24"/>
          <w:szCs w:val="24"/>
        </w:rPr>
        <w:t>Partner Note</w:t>
      </w:r>
    </w:p>
    <w:p w14:paraId="738AA61D" w14:textId="303FB501" w:rsidR="00707F1F" w:rsidRPr="00707F1F" w:rsidRDefault="00707F1F" w:rsidP="00D262AE">
      <w:pPr>
        <w:rPr>
          <w:rFonts w:ascii="Arial" w:eastAsia="Calibri" w:hAnsi="Arial" w:cs="Arial"/>
          <w:sz w:val="24"/>
          <w:szCs w:val="24"/>
        </w:rPr>
      </w:pPr>
      <w:r w:rsidRPr="00707F1F">
        <w:rPr>
          <w:rFonts w:ascii="Arial" w:eastAsia="Calibri" w:hAnsi="Arial" w:cs="Arial"/>
          <w:sz w:val="24"/>
          <w:szCs w:val="24"/>
        </w:rPr>
        <w:t>Robson v NGP Utilities Ltd</w:t>
      </w:r>
      <w:r w:rsidR="00D262AE">
        <w:rPr>
          <w:rFonts w:ascii="Arial" w:eastAsia="Calibri" w:hAnsi="Arial" w:cs="Arial"/>
          <w:sz w:val="24"/>
          <w:szCs w:val="24"/>
        </w:rPr>
        <w:t>.</w:t>
      </w:r>
      <w:r w:rsidR="00035611">
        <w:rPr>
          <w:rFonts w:ascii="Arial" w:eastAsia="Calibri" w:hAnsi="Arial" w:cs="Arial"/>
          <w:sz w:val="24"/>
          <w:szCs w:val="24"/>
        </w:rPr>
        <w:t xml:space="preserve"> </w:t>
      </w:r>
      <w:r w:rsidR="00035611" w:rsidRPr="00035611">
        <w:rPr>
          <w:rFonts w:ascii="Arial" w:eastAsia="Calibri" w:hAnsi="Arial" w:cs="Arial"/>
          <w:sz w:val="24"/>
          <w:szCs w:val="24"/>
        </w:rPr>
        <w:t>Case Number:</w:t>
      </w:r>
      <w:r w:rsidR="00035611">
        <w:rPr>
          <w:rFonts w:ascii="Arial" w:eastAsia="Calibri" w:hAnsi="Arial" w:cs="Arial"/>
          <w:sz w:val="24"/>
          <w:szCs w:val="24"/>
        </w:rPr>
        <w:t xml:space="preserve"> </w:t>
      </w:r>
      <w:r w:rsidR="00035611" w:rsidRPr="00035611">
        <w:rPr>
          <w:rFonts w:ascii="Arial" w:eastAsia="Calibri" w:hAnsi="Arial" w:cs="Arial"/>
          <w:sz w:val="24"/>
          <w:szCs w:val="24"/>
        </w:rPr>
        <w:t>1805097/2019(V)</w:t>
      </w:r>
    </w:p>
    <w:bookmarkEnd w:id="12"/>
    <w:p w14:paraId="3E246AB3" w14:textId="77777777" w:rsidR="00EF4943" w:rsidRPr="00EF4943" w:rsidRDefault="00EF4943" w:rsidP="00EF4943">
      <w:pPr>
        <w:spacing w:before="100" w:beforeAutospacing="1" w:after="100" w:afterAutospacing="1"/>
        <w:rPr>
          <w:rFonts w:ascii="Arial" w:eastAsia="Arial" w:hAnsi="Arial" w:cs="Arial"/>
          <w:sz w:val="24"/>
          <w:szCs w:val="24"/>
          <w:lang w:eastAsia="en-GB"/>
        </w:rPr>
      </w:pPr>
    </w:p>
    <w:p w14:paraId="1A464872" w14:textId="420AB5D9" w:rsidR="00A8710E" w:rsidRDefault="002A2452" w:rsidP="0061291E">
      <w:pPr>
        <w:spacing w:before="100" w:beforeAutospacing="1" w:after="100" w:afterAutospacing="1"/>
        <w:jc w:val="center"/>
        <w:rPr>
          <w:rFonts w:ascii="Arial" w:eastAsia="Arial" w:hAnsi="Arial" w:cs="Arial"/>
          <w:sz w:val="18"/>
          <w:szCs w:val="18"/>
          <w:lang w:eastAsia="en-GB"/>
        </w:rPr>
      </w:pPr>
      <w:r w:rsidRPr="002A2452">
        <w:rPr>
          <w:rFonts w:ascii="Arial" w:eastAsia="Arial" w:hAnsi="Arial" w:cs="Arial"/>
          <w:sz w:val="18"/>
          <w:szCs w:val="18"/>
          <w:lang w:eastAsia="en-GB"/>
        </w:rPr>
        <w:t xml:space="preserve">These articles are provided for general interest and information only. They do not constitute legal advice. Whilst every effort is made to ensure that the content accurately reflects the law in England as at the date of its </w:t>
      </w:r>
      <w:r w:rsidRPr="002A2452">
        <w:rPr>
          <w:rFonts w:ascii="Arial" w:eastAsia="Arial" w:hAnsi="Arial" w:cs="Arial"/>
          <w:sz w:val="18"/>
          <w:szCs w:val="18"/>
          <w:lang w:eastAsia="en-GB"/>
        </w:rPr>
        <w:lastRenderedPageBreak/>
        <w:t>transmission, no liability is accepted for any loss or damage arising from any act or omission resulting from any information contained herein.</w:t>
      </w:r>
    </w:p>
    <w:sectPr w:rsidR="00A8710E" w:rsidSect="00004F60">
      <w:pgSz w:w="11906" w:h="16838"/>
      <w:pgMar w:top="1276"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5F8C8" w14:textId="77777777" w:rsidR="0025727E" w:rsidRDefault="0025727E" w:rsidP="003B5C4C">
      <w:r>
        <w:separator/>
      </w:r>
    </w:p>
  </w:endnote>
  <w:endnote w:type="continuationSeparator" w:id="0">
    <w:p w14:paraId="4E925830" w14:textId="77777777" w:rsidR="0025727E" w:rsidRDefault="0025727E" w:rsidP="003B5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D144C" w14:textId="77777777" w:rsidR="0025727E" w:rsidRDefault="0025727E" w:rsidP="003B5C4C">
      <w:r>
        <w:separator/>
      </w:r>
    </w:p>
  </w:footnote>
  <w:footnote w:type="continuationSeparator" w:id="0">
    <w:p w14:paraId="4030002D" w14:textId="77777777" w:rsidR="0025727E" w:rsidRDefault="0025727E" w:rsidP="003B5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70495"/>
    <w:multiLevelType w:val="multilevel"/>
    <w:tmpl w:val="D2B4F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EE531C"/>
    <w:multiLevelType w:val="hybridMultilevel"/>
    <w:tmpl w:val="3550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D119AB"/>
    <w:multiLevelType w:val="hybridMultilevel"/>
    <w:tmpl w:val="E34C7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DC08B8"/>
    <w:multiLevelType w:val="hybridMultilevel"/>
    <w:tmpl w:val="4E98A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736E5B"/>
    <w:multiLevelType w:val="multilevel"/>
    <w:tmpl w:val="CC00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44F"/>
    <w:rsid w:val="00000C8C"/>
    <w:rsid w:val="000026A7"/>
    <w:rsid w:val="00004A02"/>
    <w:rsid w:val="00004F60"/>
    <w:rsid w:val="00005208"/>
    <w:rsid w:val="0000590C"/>
    <w:rsid w:val="00010115"/>
    <w:rsid w:val="000135C0"/>
    <w:rsid w:val="00013C71"/>
    <w:rsid w:val="000145F6"/>
    <w:rsid w:val="00014A49"/>
    <w:rsid w:val="00015E67"/>
    <w:rsid w:val="00020EF9"/>
    <w:rsid w:val="00022B1D"/>
    <w:rsid w:val="00024081"/>
    <w:rsid w:val="00024C96"/>
    <w:rsid w:val="00027AB5"/>
    <w:rsid w:val="000345AB"/>
    <w:rsid w:val="00035611"/>
    <w:rsid w:val="00035AA2"/>
    <w:rsid w:val="000369F3"/>
    <w:rsid w:val="00036FB8"/>
    <w:rsid w:val="00043E22"/>
    <w:rsid w:val="000444D6"/>
    <w:rsid w:val="00044722"/>
    <w:rsid w:val="00044BA2"/>
    <w:rsid w:val="00045303"/>
    <w:rsid w:val="0005768A"/>
    <w:rsid w:val="00057A94"/>
    <w:rsid w:val="00057CAA"/>
    <w:rsid w:val="00061D0D"/>
    <w:rsid w:val="00066779"/>
    <w:rsid w:val="000678FD"/>
    <w:rsid w:val="0007296F"/>
    <w:rsid w:val="000734D6"/>
    <w:rsid w:val="00074207"/>
    <w:rsid w:val="00076AA9"/>
    <w:rsid w:val="00080D8C"/>
    <w:rsid w:val="00081579"/>
    <w:rsid w:val="00081E36"/>
    <w:rsid w:val="00091DB3"/>
    <w:rsid w:val="00093050"/>
    <w:rsid w:val="000969D8"/>
    <w:rsid w:val="000A670B"/>
    <w:rsid w:val="000A6782"/>
    <w:rsid w:val="000B1D5C"/>
    <w:rsid w:val="000B49E2"/>
    <w:rsid w:val="000B63AE"/>
    <w:rsid w:val="000C084E"/>
    <w:rsid w:val="000C1B63"/>
    <w:rsid w:val="000C1F83"/>
    <w:rsid w:val="000C34BB"/>
    <w:rsid w:val="000C3E64"/>
    <w:rsid w:val="000C449F"/>
    <w:rsid w:val="000C544F"/>
    <w:rsid w:val="000D0A7C"/>
    <w:rsid w:val="000D0D22"/>
    <w:rsid w:val="000D0E8F"/>
    <w:rsid w:val="000D134D"/>
    <w:rsid w:val="000D136B"/>
    <w:rsid w:val="000E2127"/>
    <w:rsid w:val="000E28C5"/>
    <w:rsid w:val="000E7C7C"/>
    <w:rsid w:val="000F0BC4"/>
    <w:rsid w:val="000F0D11"/>
    <w:rsid w:val="000F16AB"/>
    <w:rsid w:val="000F1B28"/>
    <w:rsid w:val="000F297F"/>
    <w:rsid w:val="000F3F5E"/>
    <w:rsid w:val="000F47CE"/>
    <w:rsid w:val="000F496B"/>
    <w:rsid w:val="000F4D98"/>
    <w:rsid w:val="000F75AD"/>
    <w:rsid w:val="001018F6"/>
    <w:rsid w:val="00101E32"/>
    <w:rsid w:val="0010262A"/>
    <w:rsid w:val="001033E1"/>
    <w:rsid w:val="00107A1F"/>
    <w:rsid w:val="0011239D"/>
    <w:rsid w:val="001171E6"/>
    <w:rsid w:val="001210B3"/>
    <w:rsid w:val="00125116"/>
    <w:rsid w:val="001332DB"/>
    <w:rsid w:val="00133E9C"/>
    <w:rsid w:val="001371DB"/>
    <w:rsid w:val="00137C24"/>
    <w:rsid w:val="00140048"/>
    <w:rsid w:val="001418B9"/>
    <w:rsid w:val="00145572"/>
    <w:rsid w:val="001479C7"/>
    <w:rsid w:val="00147D90"/>
    <w:rsid w:val="0015100A"/>
    <w:rsid w:val="00152A78"/>
    <w:rsid w:val="0015355E"/>
    <w:rsid w:val="001545DD"/>
    <w:rsid w:val="00155C7F"/>
    <w:rsid w:val="00156C1B"/>
    <w:rsid w:val="0016046E"/>
    <w:rsid w:val="00163C91"/>
    <w:rsid w:val="001715E5"/>
    <w:rsid w:val="00171A6C"/>
    <w:rsid w:val="001743FB"/>
    <w:rsid w:val="00176DDF"/>
    <w:rsid w:val="001833AE"/>
    <w:rsid w:val="00184774"/>
    <w:rsid w:val="001867EE"/>
    <w:rsid w:val="00187096"/>
    <w:rsid w:val="00193261"/>
    <w:rsid w:val="00193438"/>
    <w:rsid w:val="00195661"/>
    <w:rsid w:val="00197F48"/>
    <w:rsid w:val="001A10EC"/>
    <w:rsid w:val="001A43C1"/>
    <w:rsid w:val="001A66C8"/>
    <w:rsid w:val="001B034B"/>
    <w:rsid w:val="001B3F32"/>
    <w:rsid w:val="001B75C9"/>
    <w:rsid w:val="001C003A"/>
    <w:rsid w:val="001C56A7"/>
    <w:rsid w:val="001C6F98"/>
    <w:rsid w:val="001D067E"/>
    <w:rsid w:val="001D0A2E"/>
    <w:rsid w:val="001D0F9E"/>
    <w:rsid w:val="001D544D"/>
    <w:rsid w:val="001D74FE"/>
    <w:rsid w:val="001E30A1"/>
    <w:rsid w:val="001E43D5"/>
    <w:rsid w:val="001E49C4"/>
    <w:rsid w:val="001E4C5E"/>
    <w:rsid w:val="001E5C8A"/>
    <w:rsid w:val="001E62D0"/>
    <w:rsid w:val="001F4870"/>
    <w:rsid w:val="001F6184"/>
    <w:rsid w:val="001F7854"/>
    <w:rsid w:val="001F7BA8"/>
    <w:rsid w:val="0020003F"/>
    <w:rsid w:val="00200CEF"/>
    <w:rsid w:val="002038C5"/>
    <w:rsid w:val="00204619"/>
    <w:rsid w:val="00211247"/>
    <w:rsid w:val="00215089"/>
    <w:rsid w:val="002168AB"/>
    <w:rsid w:val="002200FD"/>
    <w:rsid w:val="0022526B"/>
    <w:rsid w:val="00225597"/>
    <w:rsid w:val="00225AE3"/>
    <w:rsid w:val="002309F9"/>
    <w:rsid w:val="00231587"/>
    <w:rsid w:val="002333DB"/>
    <w:rsid w:val="00234F13"/>
    <w:rsid w:val="002362FC"/>
    <w:rsid w:val="002364F7"/>
    <w:rsid w:val="00237BC4"/>
    <w:rsid w:val="00240AAF"/>
    <w:rsid w:val="00241669"/>
    <w:rsid w:val="00241BBC"/>
    <w:rsid w:val="00241EC1"/>
    <w:rsid w:val="00251FD1"/>
    <w:rsid w:val="00252D58"/>
    <w:rsid w:val="002571C2"/>
    <w:rsid w:val="0025727E"/>
    <w:rsid w:val="002608BD"/>
    <w:rsid w:val="00261E75"/>
    <w:rsid w:val="0026375C"/>
    <w:rsid w:val="00264384"/>
    <w:rsid w:val="00264A3A"/>
    <w:rsid w:val="00265E36"/>
    <w:rsid w:val="00275355"/>
    <w:rsid w:val="00280299"/>
    <w:rsid w:val="002813DD"/>
    <w:rsid w:val="00281E54"/>
    <w:rsid w:val="00283C46"/>
    <w:rsid w:val="00290B7B"/>
    <w:rsid w:val="002916D2"/>
    <w:rsid w:val="00292787"/>
    <w:rsid w:val="00292B17"/>
    <w:rsid w:val="00294185"/>
    <w:rsid w:val="00294B0A"/>
    <w:rsid w:val="00295415"/>
    <w:rsid w:val="00295DEF"/>
    <w:rsid w:val="0029660A"/>
    <w:rsid w:val="002A0303"/>
    <w:rsid w:val="002A174D"/>
    <w:rsid w:val="002A1BF6"/>
    <w:rsid w:val="002A2452"/>
    <w:rsid w:val="002B09B0"/>
    <w:rsid w:val="002B3F36"/>
    <w:rsid w:val="002B6A9F"/>
    <w:rsid w:val="002B7545"/>
    <w:rsid w:val="002C1803"/>
    <w:rsid w:val="002C2B2F"/>
    <w:rsid w:val="002C46A5"/>
    <w:rsid w:val="002C5379"/>
    <w:rsid w:val="002D18C7"/>
    <w:rsid w:val="002D59EC"/>
    <w:rsid w:val="002D759A"/>
    <w:rsid w:val="002E050D"/>
    <w:rsid w:val="002E2E8C"/>
    <w:rsid w:val="002E407F"/>
    <w:rsid w:val="002E506B"/>
    <w:rsid w:val="002F01B6"/>
    <w:rsid w:val="002F0895"/>
    <w:rsid w:val="002F31F4"/>
    <w:rsid w:val="002F6FF7"/>
    <w:rsid w:val="003003DB"/>
    <w:rsid w:val="003027FF"/>
    <w:rsid w:val="00311C93"/>
    <w:rsid w:val="00311E06"/>
    <w:rsid w:val="003166B4"/>
    <w:rsid w:val="00316AE1"/>
    <w:rsid w:val="00317421"/>
    <w:rsid w:val="00320348"/>
    <w:rsid w:val="00322073"/>
    <w:rsid w:val="00323DD6"/>
    <w:rsid w:val="00330656"/>
    <w:rsid w:val="003306E5"/>
    <w:rsid w:val="0033126B"/>
    <w:rsid w:val="0033180A"/>
    <w:rsid w:val="00332560"/>
    <w:rsid w:val="00332D67"/>
    <w:rsid w:val="00344462"/>
    <w:rsid w:val="0034542D"/>
    <w:rsid w:val="00345FE7"/>
    <w:rsid w:val="00346D3C"/>
    <w:rsid w:val="00350DDD"/>
    <w:rsid w:val="00354330"/>
    <w:rsid w:val="003569E7"/>
    <w:rsid w:val="003579E3"/>
    <w:rsid w:val="00364813"/>
    <w:rsid w:val="003663D8"/>
    <w:rsid w:val="0036757B"/>
    <w:rsid w:val="00370847"/>
    <w:rsid w:val="00371D82"/>
    <w:rsid w:val="00371F39"/>
    <w:rsid w:val="00376B6E"/>
    <w:rsid w:val="00383125"/>
    <w:rsid w:val="00383EA8"/>
    <w:rsid w:val="00384EA3"/>
    <w:rsid w:val="003870DE"/>
    <w:rsid w:val="0038739F"/>
    <w:rsid w:val="00390E9C"/>
    <w:rsid w:val="00391041"/>
    <w:rsid w:val="003914D7"/>
    <w:rsid w:val="00391A50"/>
    <w:rsid w:val="003929A7"/>
    <w:rsid w:val="00393CC0"/>
    <w:rsid w:val="00394141"/>
    <w:rsid w:val="003945BF"/>
    <w:rsid w:val="003963D6"/>
    <w:rsid w:val="00397744"/>
    <w:rsid w:val="003A1744"/>
    <w:rsid w:val="003A5915"/>
    <w:rsid w:val="003B10A9"/>
    <w:rsid w:val="003B17F8"/>
    <w:rsid w:val="003B2976"/>
    <w:rsid w:val="003B3972"/>
    <w:rsid w:val="003B4DBB"/>
    <w:rsid w:val="003B5C4C"/>
    <w:rsid w:val="003B5CC3"/>
    <w:rsid w:val="003B60BF"/>
    <w:rsid w:val="003B77C2"/>
    <w:rsid w:val="003C27F8"/>
    <w:rsid w:val="003C3F83"/>
    <w:rsid w:val="003C6BEA"/>
    <w:rsid w:val="003D0868"/>
    <w:rsid w:val="003D4965"/>
    <w:rsid w:val="003D54AC"/>
    <w:rsid w:val="003D782E"/>
    <w:rsid w:val="003E38E5"/>
    <w:rsid w:val="003E6BBA"/>
    <w:rsid w:val="003E7932"/>
    <w:rsid w:val="003F5752"/>
    <w:rsid w:val="003F5DDE"/>
    <w:rsid w:val="003F71D4"/>
    <w:rsid w:val="0040125F"/>
    <w:rsid w:val="00407684"/>
    <w:rsid w:val="0041330C"/>
    <w:rsid w:val="00413DA4"/>
    <w:rsid w:val="00414603"/>
    <w:rsid w:val="004243E5"/>
    <w:rsid w:val="004244F4"/>
    <w:rsid w:val="00427426"/>
    <w:rsid w:val="004302D3"/>
    <w:rsid w:val="00431F5D"/>
    <w:rsid w:val="00433AEB"/>
    <w:rsid w:val="00433C85"/>
    <w:rsid w:val="00435700"/>
    <w:rsid w:val="004361D1"/>
    <w:rsid w:val="00437387"/>
    <w:rsid w:val="00440032"/>
    <w:rsid w:val="004409B9"/>
    <w:rsid w:val="004421DB"/>
    <w:rsid w:val="00442A85"/>
    <w:rsid w:val="00443916"/>
    <w:rsid w:val="00445FF2"/>
    <w:rsid w:val="0044721E"/>
    <w:rsid w:val="00450342"/>
    <w:rsid w:val="00453573"/>
    <w:rsid w:val="004558ED"/>
    <w:rsid w:val="0045707D"/>
    <w:rsid w:val="0046516B"/>
    <w:rsid w:val="004664AD"/>
    <w:rsid w:val="00467E46"/>
    <w:rsid w:val="004713C0"/>
    <w:rsid w:val="0047409B"/>
    <w:rsid w:val="00475B38"/>
    <w:rsid w:val="004843C1"/>
    <w:rsid w:val="00484F19"/>
    <w:rsid w:val="00490805"/>
    <w:rsid w:val="00492C76"/>
    <w:rsid w:val="00496C71"/>
    <w:rsid w:val="00497430"/>
    <w:rsid w:val="004A7BA4"/>
    <w:rsid w:val="004A7F4B"/>
    <w:rsid w:val="004B11B7"/>
    <w:rsid w:val="004B6666"/>
    <w:rsid w:val="004C13CE"/>
    <w:rsid w:val="004C20A1"/>
    <w:rsid w:val="004D2BBB"/>
    <w:rsid w:val="004D3D06"/>
    <w:rsid w:val="004E0369"/>
    <w:rsid w:val="004E2231"/>
    <w:rsid w:val="004E22A8"/>
    <w:rsid w:val="004E272D"/>
    <w:rsid w:val="004E4DE7"/>
    <w:rsid w:val="004E57CF"/>
    <w:rsid w:val="004E7293"/>
    <w:rsid w:val="004E7998"/>
    <w:rsid w:val="004E79E3"/>
    <w:rsid w:val="004F0317"/>
    <w:rsid w:val="004F3678"/>
    <w:rsid w:val="004F6CB7"/>
    <w:rsid w:val="004F7569"/>
    <w:rsid w:val="005063CC"/>
    <w:rsid w:val="005111C8"/>
    <w:rsid w:val="00513EBA"/>
    <w:rsid w:val="005149DF"/>
    <w:rsid w:val="005223DF"/>
    <w:rsid w:val="00523999"/>
    <w:rsid w:val="00526E34"/>
    <w:rsid w:val="00530916"/>
    <w:rsid w:val="00537AC0"/>
    <w:rsid w:val="005404D8"/>
    <w:rsid w:val="00542B35"/>
    <w:rsid w:val="00542BED"/>
    <w:rsid w:val="005502FA"/>
    <w:rsid w:val="00552D23"/>
    <w:rsid w:val="0055589C"/>
    <w:rsid w:val="005577A6"/>
    <w:rsid w:val="005638E6"/>
    <w:rsid w:val="005649AF"/>
    <w:rsid w:val="00564F37"/>
    <w:rsid w:val="005651F7"/>
    <w:rsid w:val="00567394"/>
    <w:rsid w:val="005723D7"/>
    <w:rsid w:val="005739E7"/>
    <w:rsid w:val="0057496D"/>
    <w:rsid w:val="00576368"/>
    <w:rsid w:val="005766A7"/>
    <w:rsid w:val="00584376"/>
    <w:rsid w:val="00584ACC"/>
    <w:rsid w:val="00591274"/>
    <w:rsid w:val="00591B93"/>
    <w:rsid w:val="005945F8"/>
    <w:rsid w:val="005A00DB"/>
    <w:rsid w:val="005A1938"/>
    <w:rsid w:val="005A3500"/>
    <w:rsid w:val="005A60EC"/>
    <w:rsid w:val="005A653D"/>
    <w:rsid w:val="005A7047"/>
    <w:rsid w:val="005A7225"/>
    <w:rsid w:val="005A7461"/>
    <w:rsid w:val="005A7BE8"/>
    <w:rsid w:val="005B2130"/>
    <w:rsid w:val="005B5926"/>
    <w:rsid w:val="005B7289"/>
    <w:rsid w:val="005C23EF"/>
    <w:rsid w:val="005C35AC"/>
    <w:rsid w:val="005C4E2F"/>
    <w:rsid w:val="005C52BE"/>
    <w:rsid w:val="005D1980"/>
    <w:rsid w:val="005D3A4B"/>
    <w:rsid w:val="005D44D2"/>
    <w:rsid w:val="005D57FA"/>
    <w:rsid w:val="005D794A"/>
    <w:rsid w:val="005D7C84"/>
    <w:rsid w:val="005E0232"/>
    <w:rsid w:val="005E10EB"/>
    <w:rsid w:val="005E1C0C"/>
    <w:rsid w:val="005E6030"/>
    <w:rsid w:val="005F1329"/>
    <w:rsid w:val="005F1DDF"/>
    <w:rsid w:val="005F3BFF"/>
    <w:rsid w:val="005F5AF1"/>
    <w:rsid w:val="005F5FD7"/>
    <w:rsid w:val="006010EB"/>
    <w:rsid w:val="0060440A"/>
    <w:rsid w:val="0060504C"/>
    <w:rsid w:val="0060648C"/>
    <w:rsid w:val="00606B80"/>
    <w:rsid w:val="006108C1"/>
    <w:rsid w:val="006109FF"/>
    <w:rsid w:val="0061291E"/>
    <w:rsid w:val="006147E8"/>
    <w:rsid w:val="0061517C"/>
    <w:rsid w:val="006171C0"/>
    <w:rsid w:val="0062172C"/>
    <w:rsid w:val="0062272B"/>
    <w:rsid w:val="00624F99"/>
    <w:rsid w:val="006269D3"/>
    <w:rsid w:val="00627E24"/>
    <w:rsid w:val="00640F4B"/>
    <w:rsid w:val="006416EB"/>
    <w:rsid w:val="00641D71"/>
    <w:rsid w:val="00646E8D"/>
    <w:rsid w:val="006522CF"/>
    <w:rsid w:val="00652A0B"/>
    <w:rsid w:val="006531BC"/>
    <w:rsid w:val="00655B8E"/>
    <w:rsid w:val="00656002"/>
    <w:rsid w:val="00663520"/>
    <w:rsid w:val="0066738A"/>
    <w:rsid w:val="006713C5"/>
    <w:rsid w:val="006768B7"/>
    <w:rsid w:val="00676EAE"/>
    <w:rsid w:val="00681C5A"/>
    <w:rsid w:val="006823DE"/>
    <w:rsid w:val="00685097"/>
    <w:rsid w:val="0069154C"/>
    <w:rsid w:val="00692685"/>
    <w:rsid w:val="0069376A"/>
    <w:rsid w:val="006A0AA3"/>
    <w:rsid w:val="006A402B"/>
    <w:rsid w:val="006A487B"/>
    <w:rsid w:val="006B2974"/>
    <w:rsid w:val="006B321A"/>
    <w:rsid w:val="006B3CB4"/>
    <w:rsid w:val="006C2CCF"/>
    <w:rsid w:val="006C3420"/>
    <w:rsid w:val="006C4216"/>
    <w:rsid w:val="006C50DF"/>
    <w:rsid w:val="006C5241"/>
    <w:rsid w:val="006C572C"/>
    <w:rsid w:val="006D1A83"/>
    <w:rsid w:val="006D5328"/>
    <w:rsid w:val="006E2582"/>
    <w:rsid w:val="006E2D86"/>
    <w:rsid w:val="006E74D1"/>
    <w:rsid w:val="0070280D"/>
    <w:rsid w:val="00705889"/>
    <w:rsid w:val="00707F1F"/>
    <w:rsid w:val="0071131B"/>
    <w:rsid w:val="00711812"/>
    <w:rsid w:val="00714B54"/>
    <w:rsid w:val="00726F82"/>
    <w:rsid w:val="00732E10"/>
    <w:rsid w:val="007334ED"/>
    <w:rsid w:val="0073453A"/>
    <w:rsid w:val="0073705A"/>
    <w:rsid w:val="0074043D"/>
    <w:rsid w:val="00742CE1"/>
    <w:rsid w:val="007479D3"/>
    <w:rsid w:val="00747F27"/>
    <w:rsid w:val="00750320"/>
    <w:rsid w:val="00753CE8"/>
    <w:rsid w:val="00761441"/>
    <w:rsid w:val="007637D1"/>
    <w:rsid w:val="007637F7"/>
    <w:rsid w:val="00763CBF"/>
    <w:rsid w:val="00767CB9"/>
    <w:rsid w:val="00775127"/>
    <w:rsid w:val="00775837"/>
    <w:rsid w:val="0077691C"/>
    <w:rsid w:val="00784C2B"/>
    <w:rsid w:val="007860F7"/>
    <w:rsid w:val="00786A34"/>
    <w:rsid w:val="00794371"/>
    <w:rsid w:val="00796B8B"/>
    <w:rsid w:val="007979C5"/>
    <w:rsid w:val="007A0BCD"/>
    <w:rsid w:val="007A1EF6"/>
    <w:rsid w:val="007A3910"/>
    <w:rsid w:val="007A570D"/>
    <w:rsid w:val="007A6EDF"/>
    <w:rsid w:val="007A7A17"/>
    <w:rsid w:val="007B0E0C"/>
    <w:rsid w:val="007B1637"/>
    <w:rsid w:val="007B22E8"/>
    <w:rsid w:val="007B2466"/>
    <w:rsid w:val="007B58CE"/>
    <w:rsid w:val="007C0799"/>
    <w:rsid w:val="007C1CA9"/>
    <w:rsid w:val="007C2979"/>
    <w:rsid w:val="007C4DF0"/>
    <w:rsid w:val="007C5465"/>
    <w:rsid w:val="007C6270"/>
    <w:rsid w:val="007C77EE"/>
    <w:rsid w:val="007D2181"/>
    <w:rsid w:val="007D3C3C"/>
    <w:rsid w:val="007D5AFA"/>
    <w:rsid w:val="007D737D"/>
    <w:rsid w:val="007D7451"/>
    <w:rsid w:val="007D7BFA"/>
    <w:rsid w:val="007E4304"/>
    <w:rsid w:val="007E6E07"/>
    <w:rsid w:val="007F1511"/>
    <w:rsid w:val="007F359A"/>
    <w:rsid w:val="00800D49"/>
    <w:rsid w:val="0080178B"/>
    <w:rsid w:val="008024A9"/>
    <w:rsid w:val="00802DF8"/>
    <w:rsid w:val="00803D7A"/>
    <w:rsid w:val="008055A5"/>
    <w:rsid w:val="00811703"/>
    <w:rsid w:val="008132F6"/>
    <w:rsid w:val="008134F3"/>
    <w:rsid w:val="00816119"/>
    <w:rsid w:val="0081740D"/>
    <w:rsid w:val="0081766A"/>
    <w:rsid w:val="0082001C"/>
    <w:rsid w:val="00820A2E"/>
    <w:rsid w:val="00822509"/>
    <w:rsid w:val="00823DCA"/>
    <w:rsid w:val="00824E5E"/>
    <w:rsid w:val="0082776C"/>
    <w:rsid w:val="00832A73"/>
    <w:rsid w:val="0083719B"/>
    <w:rsid w:val="00837D25"/>
    <w:rsid w:val="00837E8A"/>
    <w:rsid w:val="008417D9"/>
    <w:rsid w:val="008418FB"/>
    <w:rsid w:val="00842340"/>
    <w:rsid w:val="00842DC8"/>
    <w:rsid w:val="008445AD"/>
    <w:rsid w:val="00844FEC"/>
    <w:rsid w:val="00850854"/>
    <w:rsid w:val="0085536F"/>
    <w:rsid w:val="0085606F"/>
    <w:rsid w:val="0085741A"/>
    <w:rsid w:val="00861ACA"/>
    <w:rsid w:val="00862435"/>
    <w:rsid w:val="008648D2"/>
    <w:rsid w:val="0086578E"/>
    <w:rsid w:val="0086682F"/>
    <w:rsid w:val="008677ED"/>
    <w:rsid w:val="00872CA1"/>
    <w:rsid w:val="0087386E"/>
    <w:rsid w:val="00874157"/>
    <w:rsid w:val="008748B6"/>
    <w:rsid w:val="00884636"/>
    <w:rsid w:val="00890C89"/>
    <w:rsid w:val="0089165C"/>
    <w:rsid w:val="00892D85"/>
    <w:rsid w:val="00896A9A"/>
    <w:rsid w:val="00896CC3"/>
    <w:rsid w:val="0089767D"/>
    <w:rsid w:val="008A4C39"/>
    <w:rsid w:val="008B0111"/>
    <w:rsid w:val="008B0DCF"/>
    <w:rsid w:val="008B1647"/>
    <w:rsid w:val="008B5B84"/>
    <w:rsid w:val="008C3A20"/>
    <w:rsid w:val="008C3F3B"/>
    <w:rsid w:val="008C4A54"/>
    <w:rsid w:val="008C4A6A"/>
    <w:rsid w:val="008D1947"/>
    <w:rsid w:val="008D2895"/>
    <w:rsid w:val="008D44BB"/>
    <w:rsid w:val="008D4CEA"/>
    <w:rsid w:val="008E0A32"/>
    <w:rsid w:val="008E1A42"/>
    <w:rsid w:val="008E1FAB"/>
    <w:rsid w:val="008E405D"/>
    <w:rsid w:val="008E59DB"/>
    <w:rsid w:val="008E66DA"/>
    <w:rsid w:val="008F3498"/>
    <w:rsid w:val="008F59D1"/>
    <w:rsid w:val="0090296C"/>
    <w:rsid w:val="00905633"/>
    <w:rsid w:val="009078A1"/>
    <w:rsid w:val="00910149"/>
    <w:rsid w:val="00910254"/>
    <w:rsid w:val="0091350F"/>
    <w:rsid w:val="00920595"/>
    <w:rsid w:val="00923CE0"/>
    <w:rsid w:val="009240D5"/>
    <w:rsid w:val="00925B1E"/>
    <w:rsid w:val="00935C0F"/>
    <w:rsid w:val="009424EC"/>
    <w:rsid w:val="00946D1E"/>
    <w:rsid w:val="00947C45"/>
    <w:rsid w:val="00950FF2"/>
    <w:rsid w:val="0095348D"/>
    <w:rsid w:val="009560E1"/>
    <w:rsid w:val="0096222F"/>
    <w:rsid w:val="00964B11"/>
    <w:rsid w:val="00967E72"/>
    <w:rsid w:val="00970263"/>
    <w:rsid w:val="009705B8"/>
    <w:rsid w:val="00973D1B"/>
    <w:rsid w:val="00976171"/>
    <w:rsid w:val="00977FBD"/>
    <w:rsid w:val="00982395"/>
    <w:rsid w:val="00987563"/>
    <w:rsid w:val="00990FCD"/>
    <w:rsid w:val="00992808"/>
    <w:rsid w:val="00993B78"/>
    <w:rsid w:val="00994C41"/>
    <w:rsid w:val="00996FEE"/>
    <w:rsid w:val="009A1760"/>
    <w:rsid w:val="009A5049"/>
    <w:rsid w:val="009A6E03"/>
    <w:rsid w:val="009B0CE7"/>
    <w:rsid w:val="009B1312"/>
    <w:rsid w:val="009B3692"/>
    <w:rsid w:val="009B6415"/>
    <w:rsid w:val="009C753E"/>
    <w:rsid w:val="009C7DED"/>
    <w:rsid w:val="009D12F5"/>
    <w:rsid w:val="009D1F91"/>
    <w:rsid w:val="009D6D8F"/>
    <w:rsid w:val="009E0C9D"/>
    <w:rsid w:val="009E3F2E"/>
    <w:rsid w:val="009E429A"/>
    <w:rsid w:val="009E6A73"/>
    <w:rsid w:val="009E7205"/>
    <w:rsid w:val="009E78ED"/>
    <w:rsid w:val="009F0D44"/>
    <w:rsid w:val="009F4460"/>
    <w:rsid w:val="009F53A0"/>
    <w:rsid w:val="009F685E"/>
    <w:rsid w:val="009F7851"/>
    <w:rsid w:val="00A01BE4"/>
    <w:rsid w:val="00A02283"/>
    <w:rsid w:val="00A0229E"/>
    <w:rsid w:val="00A025F2"/>
    <w:rsid w:val="00A02F8D"/>
    <w:rsid w:val="00A061F3"/>
    <w:rsid w:val="00A1066F"/>
    <w:rsid w:val="00A15579"/>
    <w:rsid w:val="00A17515"/>
    <w:rsid w:val="00A20548"/>
    <w:rsid w:val="00A25048"/>
    <w:rsid w:val="00A2532A"/>
    <w:rsid w:val="00A254B5"/>
    <w:rsid w:val="00A259E9"/>
    <w:rsid w:val="00A30636"/>
    <w:rsid w:val="00A30C99"/>
    <w:rsid w:val="00A31828"/>
    <w:rsid w:val="00A32771"/>
    <w:rsid w:val="00A352AD"/>
    <w:rsid w:val="00A35D83"/>
    <w:rsid w:val="00A403B5"/>
    <w:rsid w:val="00A41958"/>
    <w:rsid w:val="00A435EC"/>
    <w:rsid w:val="00A43857"/>
    <w:rsid w:val="00A56071"/>
    <w:rsid w:val="00A62C66"/>
    <w:rsid w:val="00A646BE"/>
    <w:rsid w:val="00A64ADB"/>
    <w:rsid w:val="00A64ED9"/>
    <w:rsid w:val="00A65194"/>
    <w:rsid w:val="00A658BD"/>
    <w:rsid w:val="00A66215"/>
    <w:rsid w:val="00A6648D"/>
    <w:rsid w:val="00A77B96"/>
    <w:rsid w:val="00A8387D"/>
    <w:rsid w:val="00A85B10"/>
    <w:rsid w:val="00A86C22"/>
    <w:rsid w:val="00A8710E"/>
    <w:rsid w:val="00A92EA5"/>
    <w:rsid w:val="00A9341B"/>
    <w:rsid w:val="00AA0761"/>
    <w:rsid w:val="00AA2177"/>
    <w:rsid w:val="00AB2AC2"/>
    <w:rsid w:val="00AB5BED"/>
    <w:rsid w:val="00AB74C0"/>
    <w:rsid w:val="00AC4D5B"/>
    <w:rsid w:val="00AC5031"/>
    <w:rsid w:val="00AC5864"/>
    <w:rsid w:val="00AD13F8"/>
    <w:rsid w:val="00AD4263"/>
    <w:rsid w:val="00AD4DBD"/>
    <w:rsid w:val="00AD64FD"/>
    <w:rsid w:val="00AD6E4F"/>
    <w:rsid w:val="00AD7B1C"/>
    <w:rsid w:val="00AD7D35"/>
    <w:rsid w:val="00AE07C7"/>
    <w:rsid w:val="00AE0C08"/>
    <w:rsid w:val="00AE237F"/>
    <w:rsid w:val="00AE310E"/>
    <w:rsid w:val="00AF0AC7"/>
    <w:rsid w:val="00AF1288"/>
    <w:rsid w:val="00AF2826"/>
    <w:rsid w:val="00AF37AD"/>
    <w:rsid w:val="00AF583B"/>
    <w:rsid w:val="00B0034A"/>
    <w:rsid w:val="00B01682"/>
    <w:rsid w:val="00B03936"/>
    <w:rsid w:val="00B042F4"/>
    <w:rsid w:val="00B06DF3"/>
    <w:rsid w:val="00B10FF2"/>
    <w:rsid w:val="00B139F5"/>
    <w:rsid w:val="00B17AE9"/>
    <w:rsid w:val="00B25972"/>
    <w:rsid w:val="00B2677D"/>
    <w:rsid w:val="00B30B3E"/>
    <w:rsid w:val="00B32A6D"/>
    <w:rsid w:val="00B34B14"/>
    <w:rsid w:val="00B34D8A"/>
    <w:rsid w:val="00B4235E"/>
    <w:rsid w:val="00B46276"/>
    <w:rsid w:val="00B548F6"/>
    <w:rsid w:val="00B5543B"/>
    <w:rsid w:val="00B564A4"/>
    <w:rsid w:val="00B568D6"/>
    <w:rsid w:val="00B5752B"/>
    <w:rsid w:val="00B57B1F"/>
    <w:rsid w:val="00B60F1D"/>
    <w:rsid w:val="00B621B6"/>
    <w:rsid w:val="00B630A5"/>
    <w:rsid w:val="00B64935"/>
    <w:rsid w:val="00B70326"/>
    <w:rsid w:val="00B71C88"/>
    <w:rsid w:val="00B73C77"/>
    <w:rsid w:val="00B74B4B"/>
    <w:rsid w:val="00B75D37"/>
    <w:rsid w:val="00B82107"/>
    <w:rsid w:val="00B83869"/>
    <w:rsid w:val="00B85167"/>
    <w:rsid w:val="00B87E95"/>
    <w:rsid w:val="00B90D54"/>
    <w:rsid w:val="00B936D8"/>
    <w:rsid w:val="00BA0152"/>
    <w:rsid w:val="00BA0223"/>
    <w:rsid w:val="00BA0AEA"/>
    <w:rsid w:val="00BA1221"/>
    <w:rsid w:val="00BA57C0"/>
    <w:rsid w:val="00BB1F0D"/>
    <w:rsid w:val="00BB2739"/>
    <w:rsid w:val="00BB41CE"/>
    <w:rsid w:val="00BB44C7"/>
    <w:rsid w:val="00BC093F"/>
    <w:rsid w:val="00BC0C92"/>
    <w:rsid w:val="00BC184E"/>
    <w:rsid w:val="00BD1BE0"/>
    <w:rsid w:val="00BD4780"/>
    <w:rsid w:val="00BD49E8"/>
    <w:rsid w:val="00BE4964"/>
    <w:rsid w:val="00BE4BEB"/>
    <w:rsid w:val="00BE583F"/>
    <w:rsid w:val="00BE65A3"/>
    <w:rsid w:val="00BE66F8"/>
    <w:rsid w:val="00BE6CC7"/>
    <w:rsid w:val="00BE75A6"/>
    <w:rsid w:val="00BF0F1F"/>
    <w:rsid w:val="00BF1EE6"/>
    <w:rsid w:val="00BF2D82"/>
    <w:rsid w:val="00BF78F5"/>
    <w:rsid w:val="00C01849"/>
    <w:rsid w:val="00C035EB"/>
    <w:rsid w:val="00C03F35"/>
    <w:rsid w:val="00C127B0"/>
    <w:rsid w:val="00C15C44"/>
    <w:rsid w:val="00C17374"/>
    <w:rsid w:val="00C176DC"/>
    <w:rsid w:val="00C21A22"/>
    <w:rsid w:val="00C2303A"/>
    <w:rsid w:val="00C236B7"/>
    <w:rsid w:val="00C2475F"/>
    <w:rsid w:val="00C25A7F"/>
    <w:rsid w:val="00C32825"/>
    <w:rsid w:val="00C32AB6"/>
    <w:rsid w:val="00C40324"/>
    <w:rsid w:val="00C408C0"/>
    <w:rsid w:val="00C42807"/>
    <w:rsid w:val="00C44984"/>
    <w:rsid w:val="00C4538F"/>
    <w:rsid w:val="00C4708D"/>
    <w:rsid w:val="00C5274B"/>
    <w:rsid w:val="00C5768B"/>
    <w:rsid w:val="00C61988"/>
    <w:rsid w:val="00C65555"/>
    <w:rsid w:val="00C6635F"/>
    <w:rsid w:val="00C72480"/>
    <w:rsid w:val="00C73477"/>
    <w:rsid w:val="00C815AA"/>
    <w:rsid w:val="00C82C86"/>
    <w:rsid w:val="00C8379E"/>
    <w:rsid w:val="00C85798"/>
    <w:rsid w:val="00C8746D"/>
    <w:rsid w:val="00C9149C"/>
    <w:rsid w:val="00C92C15"/>
    <w:rsid w:val="00C961AB"/>
    <w:rsid w:val="00C9799C"/>
    <w:rsid w:val="00C97EF4"/>
    <w:rsid w:val="00CA16BE"/>
    <w:rsid w:val="00CA209A"/>
    <w:rsid w:val="00CA20AC"/>
    <w:rsid w:val="00CA649D"/>
    <w:rsid w:val="00CB07C1"/>
    <w:rsid w:val="00CB2928"/>
    <w:rsid w:val="00CB6D81"/>
    <w:rsid w:val="00CC49C4"/>
    <w:rsid w:val="00CE046D"/>
    <w:rsid w:val="00CE17D5"/>
    <w:rsid w:val="00CE5A08"/>
    <w:rsid w:val="00CF1034"/>
    <w:rsid w:val="00D029E5"/>
    <w:rsid w:val="00D04DD1"/>
    <w:rsid w:val="00D06141"/>
    <w:rsid w:val="00D12E14"/>
    <w:rsid w:val="00D20FA1"/>
    <w:rsid w:val="00D2112F"/>
    <w:rsid w:val="00D22609"/>
    <w:rsid w:val="00D236F6"/>
    <w:rsid w:val="00D24AAA"/>
    <w:rsid w:val="00D262AE"/>
    <w:rsid w:val="00D2796D"/>
    <w:rsid w:val="00D27DC8"/>
    <w:rsid w:val="00D3027D"/>
    <w:rsid w:val="00D36C46"/>
    <w:rsid w:val="00D404AE"/>
    <w:rsid w:val="00D45701"/>
    <w:rsid w:val="00D46385"/>
    <w:rsid w:val="00D54D2D"/>
    <w:rsid w:val="00D56D13"/>
    <w:rsid w:val="00D57252"/>
    <w:rsid w:val="00D63076"/>
    <w:rsid w:val="00D63BFC"/>
    <w:rsid w:val="00D64070"/>
    <w:rsid w:val="00D66B32"/>
    <w:rsid w:val="00D66E40"/>
    <w:rsid w:val="00D71328"/>
    <w:rsid w:val="00D91A6C"/>
    <w:rsid w:val="00D93AD6"/>
    <w:rsid w:val="00D963DD"/>
    <w:rsid w:val="00DA072C"/>
    <w:rsid w:val="00DA507F"/>
    <w:rsid w:val="00DA7C5D"/>
    <w:rsid w:val="00DB22FA"/>
    <w:rsid w:val="00DB4731"/>
    <w:rsid w:val="00DB498C"/>
    <w:rsid w:val="00DB4C54"/>
    <w:rsid w:val="00DB5775"/>
    <w:rsid w:val="00DC1E90"/>
    <w:rsid w:val="00DC3F3B"/>
    <w:rsid w:val="00DC40D7"/>
    <w:rsid w:val="00DC6A6A"/>
    <w:rsid w:val="00DC6BC8"/>
    <w:rsid w:val="00DD7705"/>
    <w:rsid w:val="00DE094E"/>
    <w:rsid w:val="00DE098E"/>
    <w:rsid w:val="00DE128C"/>
    <w:rsid w:val="00DE2910"/>
    <w:rsid w:val="00DE2F01"/>
    <w:rsid w:val="00DE43E9"/>
    <w:rsid w:val="00DE5614"/>
    <w:rsid w:val="00DE722E"/>
    <w:rsid w:val="00DF205D"/>
    <w:rsid w:val="00E00A59"/>
    <w:rsid w:val="00E14A9F"/>
    <w:rsid w:val="00E1541F"/>
    <w:rsid w:val="00E15B20"/>
    <w:rsid w:val="00E15BFC"/>
    <w:rsid w:val="00E2184C"/>
    <w:rsid w:val="00E21E8E"/>
    <w:rsid w:val="00E23EB8"/>
    <w:rsid w:val="00E2542C"/>
    <w:rsid w:val="00E279EC"/>
    <w:rsid w:val="00E30B48"/>
    <w:rsid w:val="00E30D0F"/>
    <w:rsid w:val="00E40754"/>
    <w:rsid w:val="00E44626"/>
    <w:rsid w:val="00E4591A"/>
    <w:rsid w:val="00E47141"/>
    <w:rsid w:val="00E56C88"/>
    <w:rsid w:val="00E604D9"/>
    <w:rsid w:val="00E63F29"/>
    <w:rsid w:val="00E64B45"/>
    <w:rsid w:val="00E65021"/>
    <w:rsid w:val="00E7068A"/>
    <w:rsid w:val="00E713DD"/>
    <w:rsid w:val="00E72D0F"/>
    <w:rsid w:val="00E74586"/>
    <w:rsid w:val="00E75D3E"/>
    <w:rsid w:val="00E75E6F"/>
    <w:rsid w:val="00E7733B"/>
    <w:rsid w:val="00E77DBC"/>
    <w:rsid w:val="00E81449"/>
    <w:rsid w:val="00E82582"/>
    <w:rsid w:val="00E87EC7"/>
    <w:rsid w:val="00E95870"/>
    <w:rsid w:val="00E95C9B"/>
    <w:rsid w:val="00EA4127"/>
    <w:rsid w:val="00EA48F1"/>
    <w:rsid w:val="00EB025A"/>
    <w:rsid w:val="00EB655C"/>
    <w:rsid w:val="00EC1D09"/>
    <w:rsid w:val="00EC2094"/>
    <w:rsid w:val="00EC6FE5"/>
    <w:rsid w:val="00EC7546"/>
    <w:rsid w:val="00ED000C"/>
    <w:rsid w:val="00ED5895"/>
    <w:rsid w:val="00ED729D"/>
    <w:rsid w:val="00EE0519"/>
    <w:rsid w:val="00EE4094"/>
    <w:rsid w:val="00EE6A3C"/>
    <w:rsid w:val="00EF2267"/>
    <w:rsid w:val="00EF2453"/>
    <w:rsid w:val="00EF4943"/>
    <w:rsid w:val="00EF4A51"/>
    <w:rsid w:val="00EF4F66"/>
    <w:rsid w:val="00EF591B"/>
    <w:rsid w:val="00F06139"/>
    <w:rsid w:val="00F23506"/>
    <w:rsid w:val="00F27917"/>
    <w:rsid w:val="00F31A55"/>
    <w:rsid w:val="00F34194"/>
    <w:rsid w:val="00F34688"/>
    <w:rsid w:val="00F352B7"/>
    <w:rsid w:val="00F3696F"/>
    <w:rsid w:val="00F4141C"/>
    <w:rsid w:val="00F425F5"/>
    <w:rsid w:val="00F43630"/>
    <w:rsid w:val="00F4363E"/>
    <w:rsid w:val="00F45FD2"/>
    <w:rsid w:val="00F462F1"/>
    <w:rsid w:val="00F51026"/>
    <w:rsid w:val="00F522EE"/>
    <w:rsid w:val="00F52CC4"/>
    <w:rsid w:val="00F53FD5"/>
    <w:rsid w:val="00F54C6E"/>
    <w:rsid w:val="00F55520"/>
    <w:rsid w:val="00F70F39"/>
    <w:rsid w:val="00F733B2"/>
    <w:rsid w:val="00F73F42"/>
    <w:rsid w:val="00F77278"/>
    <w:rsid w:val="00F82A80"/>
    <w:rsid w:val="00F84A01"/>
    <w:rsid w:val="00F8589A"/>
    <w:rsid w:val="00F866F5"/>
    <w:rsid w:val="00F94F01"/>
    <w:rsid w:val="00F972DD"/>
    <w:rsid w:val="00FA50AD"/>
    <w:rsid w:val="00FA5E88"/>
    <w:rsid w:val="00FA69F4"/>
    <w:rsid w:val="00FA6B4C"/>
    <w:rsid w:val="00FB05B3"/>
    <w:rsid w:val="00FB0A79"/>
    <w:rsid w:val="00FB4246"/>
    <w:rsid w:val="00FC2E2D"/>
    <w:rsid w:val="00FC42B6"/>
    <w:rsid w:val="00FD2115"/>
    <w:rsid w:val="00FD599E"/>
    <w:rsid w:val="00FD6606"/>
    <w:rsid w:val="00FD6D10"/>
    <w:rsid w:val="00FE03FB"/>
    <w:rsid w:val="00FE2D8C"/>
    <w:rsid w:val="00FE3D66"/>
    <w:rsid w:val="00FE5831"/>
    <w:rsid w:val="00FE645E"/>
    <w:rsid w:val="00FE6704"/>
    <w:rsid w:val="00FE73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F9A74"/>
  <w15:docId w15:val="{86A14DC5-8188-4D17-8245-FA95B608B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GB"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D85"/>
    <w:pPr>
      <w:spacing w:before="0" w:beforeAutospacing="0" w:after="0" w:afterAutospacing="0"/>
    </w:pPr>
    <w:rPr>
      <w:rFonts w:ascii="Calibri" w:eastAsiaTheme="minorHAns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qFormat/>
    <w:rsid w:val="00FD2115"/>
  </w:style>
  <w:style w:type="paragraph" w:styleId="BalloonText">
    <w:name w:val="Balloon Text"/>
    <w:basedOn w:val="Normal"/>
    <w:link w:val="BalloonTextChar"/>
    <w:uiPriority w:val="99"/>
    <w:semiHidden/>
    <w:unhideWhenUsed/>
    <w:rsid w:val="000C54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544F"/>
    <w:rPr>
      <w:rFonts w:ascii="Segoe UI" w:eastAsiaTheme="minorHAnsi" w:hAnsi="Segoe UI" w:cs="Segoe UI"/>
      <w:sz w:val="18"/>
      <w:szCs w:val="18"/>
    </w:rPr>
  </w:style>
  <w:style w:type="paragraph" w:styleId="ListParagraph">
    <w:name w:val="List Paragraph"/>
    <w:basedOn w:val="Normal"/>
    <w:uiPriority w:val="34"/>
    <w:qFormat/>
    <w:rsid w:val="00264384"/>
    <w:pPr>
      <w:ind w:left="720"/>
      <w:contextualSpacing/>
    </w:pPr>
  </w:style>
  <w:style w:type="character" w:styleId="Hyperlink">
    <w:name w:val="Hyperlink"/>
    <w:basedOn w:val="DefaultParagraphFont"/>
    <w:uiPriority w:val="99"/>
    <w:unhideWhenUsed/>
    <w:rsid w:val="00A02283"/>
    <w:rPr>
      <w:color w:val="0563C1" w:themeColor="hyperlink"/>
      <w:u w:val="single"/>
    </w:rPr>
  </w:style>
  <w:style w:type="paragraph" w:styleId="NormalWeb">
    <w:name w:val="Normal (Web)"/>
    <w:basedOn w:val="Normal"/>
    <w:uiPriority w:val="99"/>
    <w:unhideWhenUsed/>
    <w:rsid w:val="006531BC"/>
    <w:pPr>
      <w:spacing w:before="100" w:beforeAutospacing="1" w:after="100" w:afterAutospacing="1"/>
    </w:pPr>
    <w:rPr>
      <w:rFonts w:ascii="Times New Roman" w:eastAsia="Times New Roman" w:hAnsi="Times New Roman"/>
      <w:sz w:val="24"/>
      <w:szCs w:val="24"/>
      <w:lang w:eastAsia="en-GB"/>
    </w:rPr>
  </w:style>
  <w:style w:type="character" w:styleId="Emphasis">
    <w:name w:val="Emphasis"/>
    <w:basedOn w:val="DefaultParagraphFont"/>
    <w:uiPriority w:val="20"/>
    <w:qFormat/>
    <w:rsid w:val="00004F60"/>
    <w:rPr>
      <w:i/>
      <w:iCs/>
    </w:rPr>
  </w:style>
  <w:style w:type="character" w:styleId="FollowedHyperlink">
    <w:name w:val="FollowedHyperlink"/>
    <w:basedOn w:val="DefaultParagraphFont"/>
    <w:uiPriority w:val="99"/>
    <w:semiHidden/>
    <w:unhideWhenUsed/>
    <w:rsid w:val="00DB498C"/>
    <w:rPr>
      <w:color w:val="954F72" w:themeColor="followedHyperlink"/>
      <w:u w:val="single"/>
    </w:rPr>
  </w:style>
  <w:style w:type="character" w:styleId="CommentReference">
    <w:name w:val="annotation reference"/>
    <w:basedOn w:val="DefaultParagraphFont"/>
    <w:uiPriority w:val="99"/>
    <w:semiHidden/>
    <w:unhideWhenUsed/>
    <w:rsid w:val="007B22E8"/>
    <w:rPr>
      <w:sz w:val="16"/>
      <w:szCs w:val="16"/>
    </w:rPr>
  </w:style>
  <w:style w:type="paragraph" w:styleId="CommentText">
    <w:name w:val="annotation text"/>
    <w:basedOn w:val="Normal"/>
    <w:link w:val="CommentTextChar"/>
    <w:uiPriority w:val="99"/>
    <w:semiHidden/>
    <w:unhideWhenUsed/>
    <w:rsid w:val="007B22E8"/>
    <w:rPr>
      <w:sz w:val="20"/>
      <w:szCs w:val="20"/>
    </w:rPr>
  </w:style>
  <w:style w:type="character" w:customStyle="1" w:styleId="CommentTextChar">
    <w:name w:val="Comment Text Char"/>
    <w:basedOn w:val="DefaultParagraphFont"/>
    <w:link w:val="CommentText"/>
    <w:uiPriority w:val="99"/>
    <w:semiHidden/>
    <w:rsid w:val="007B22E8"/>
    <w:rPr>
      <w:rFonts w:ascii="Calibri" w:eastAsiaTheme="minorHAns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B22E8"/>
    <w:rPr>
      <w:b/>
      <w:bCs/>
    </w:rPr>
  </w:style>
  <w:style w:type="character" w:customStyle="1" w:styleId="CommentSubjectChar">
    <w:name w:val="Comment Subject Char"/>
    <w:basedOn w:val="CommentTextChar"/>
    <w:link w:val="CommentSubject"/>
    <w:uiPriority w:val="99"/>
    <w:semiHidden/>
    <w:rsid w:val="007B22E8"/>
    <w:rPr>
      <w:rFonts w:ascii="Calibri" w:eastAsiaTheme="minorHAnsi" w:hAnsi="Calibri" w:cs="Times New Roman"/>
      <w:b/>
      <w:bCs/>
      <w:sz w:val="20"/>
      <w:szCs w:val="20"/>
    </w:rPr>
  </w:style>
  <w:style w:type="character" w:customStyle="1" w:styleId="UnresolvedMention1">
    <w:name w:val="Unresolved Mention1"/>
    <w:basedOn w:val="DefaultParagraphFont"/>
    <w:uiPriority w:val="99"/>
    <w:semiHidden/>
    <w:unhideWhenUsed/>
    <w:rsid w:val="002A0303"/>
    <w:rPr>
      <w:color w:val="605E5C"/>
      <w:shd w:val="clear" w:color="auto" w:fill="E1DFDD"/>
    </w:rPr>
  </w:style>
  <w:style w:type="character" w:customStyle="1" w:styleId="UnresolvedMention2">
    <w:name w:val="Unresolved Mention2"/>
    <w:basedOn w:val="DefaultParagraphFont"/>
    <w:uiPriority w:val="99"/>
    <w:semiHidden/>
    <w:unhideWhenUsed/>
    <w:rsid w:val="00A66215"/>
    <w:rPr>
      <w:color w:val="605E5C"/>
      <w:shd w:val="clear" w:color="auto" w:fill="E1DFDD"/>
    </w:rPr>
  </w:style>
  <w:style w:type="paragraph" w:styleId="Header">
    <w:name w:val="header"/>
    <w:basedOn w:val="Normal"/>
    <w:link w:val="HeaderChar"/>
    <w:uiPriority w:val="99"/>
    <w:unhideWhenUsed/>
    <w:rsid w:val="003B5C4C"/>
    <w:pPr>
      <w:tabs>
        <w:tab w:val="center" w:pos="4513"/>
        <w:tab w:val="right" w:pos="9026"/>
      </w:tabs>
    </w:pPr>
  </w:style>
  <w:style w:type="character" w:customStyle="1" w:styleId="HeaderChar">
    <w:name w:val="Header Char"/>
    <w:basedOn w:val="DefaultParagraphFont"/>
    <w:link w:val="Header"/>
    <w:uiPriority w:val="99"/>
    <w:rsid w:val="003B5C4C"/>
    <w:rPr>
      <w:rFonts w:ascii="Calibri" w:eastAsiaTheme="minorHAnsi" w:hAnsi="Calibri" w:cs="Times New Roman"/>
    </w:rPr>
  </w:style>
  <w:style w:type="paragraph" w:styleId="Footer">
    <w:name w:val="footer"/>
    <w:basedOn w:val="Normal"/>
    <w:link w:val="FooterChar"/>
    <w:uiPriority w:val="99"/>
    <w:unhideWhenUsed/>
    <w:rsid w:val="003B5C4C"/>
    <w:pPr>
      <w:tabs>
        <w:tab w:val="center" w:pos="4513"/>
        <w:tab w:val="right" w:pos="9026"/>
      </w:tabs>
    </w:pPr>
  </w:style>
  <w:style w:type="character" w:customStyle="1" w:styleId="FooterChar">
    <w:name w:val="Footer Char"/>
    <w:basedOn w:val="DefaultParagraphFont"/>
    <w:link w:val="Footer"/>
    <w:uiPriority w:val="99"/>
    <w:rsid w:val="003B5C4C"/>
    <w:rPr>
      <w:rFonts w:ascii="Calibri" w:eastAsiaTheme="minorHAnsi" w:hAnsi="Calibri" w:cs="Times New Roman"/>
    </w:rPr>
  </w:style>
  <w:style w:type="paragraph" w:styleId="Revision">
    <w:name w:val="Revision"/>
    <w:hidden/>
    <w:uiPriority w:val="99"/>
    <w:semiHidden/>
    <w:rsid w:val="00861ACA"/>
    <w:pPr>
      <w:spacing w:before="0" w:beforeAutospacing="0" w:after="0" w:afterAutospacing="0"/>
    </w:pPr>
    <w:rPr>
      <w:rFonts w:ascii="Calibri" w:eastAsiaTheme="minorHAns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254848">
      <w:bodyDiv w:val="1"/>
      <w:marLeft w:val="0"/>
      <w:marRight w:val="0"/>
      <w:marTop w:val="0"/>
      <w:marBottom w:val="0"/>
      <w:divBdr>
        <w:top w:val="none" w:sz="0" w:space="0" w:color="auto"/>
        <w:left w:val="none" w:sz="0" w:space="0" w:color="auto"/>
        <w:bottom w:val="none" w:sz="0" w:space="0" w:color="auto"/>
        <w:right w:val="none" w:sz="0" w:space="0" w:color="auto"/>
      </w:divBdr>
      <w:divsChild>
        <w:div w:id="1672758139">
          <w:marLeft w:val="0"/>
          <w:marRight w:val="0"/>
          <w:marTop w:val="180"/>
          <w:marBottom w:val="0"/>
          <w:divBdr>
            <w:top w:val="none" w:sz="0" w:space="0" w:color="auto"/>
            <w:left w:val="none" w:sz="0" w:space="0" w:color="auto"/>
            <w:bottom w:val="none" w:sz="0" w:space="0" w:color="auto"/>
            <w:right w:val="none" w:sz="0" w:space="0" w:color="auto"/>
          </w:divBdr>
          <w:divsChild>
            <w:div w:id="1387073766">
              <w:marLeft w:val="0"/>
              <w:marRight w:val="0"/>
              <w:marTop w:val="0"/>
              <w:marBottom w:val="0"/>
              <w:divBdr>
                <w:top w:val="none" w:sz="0" w:space="0" w:color="auto"/>
                <w:left w:val="none" w:sz="0" w:space="0" w:color="auto"/>
                <w:bottom w:val="none" w:sz="0" w:space="0" w:color="auto"/>
                <w:right w:val="none" w:sz="0" w:space="0" w:color="auto"/>
              </w:divBdr>
              <w:divsChild>
                <w:div w:id="87754680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826898755">
      <w:bodyDiv w:val="1"/>
      <w:marLeft w:val="0"/>
      <w:marRight w:val="0"/>
      <w:marTop w:val="0"/>
      <w:marBottom w:val="0"/>
      <w:divBdr>
        <w:top w:val="none" w:sz="0" w:space="0" w:color="auto"/>
        <w:left w:val="none" w:sz="0" w:space="0" w:color="auto"/>
        <w:bottom w:val="none" w:sz="0" w:space="0" w:color="auto"/>
        <w:right w:val="none" w:sz="0" w:space="0" w:color="auto"/>
      </w:divBdr>
    </w:div>
    <w:div w:id="841973080">
      <w:bodyDiv w:val="1"/>
      <w:marLeft w:val="0"/>
      <w:marRight w:val="0"/>
      <w:marTop w:val="0"/>
      <w:marBottom w:val="0"/>
      <w:divBdr>
        <w:top w:val="none" w:sz="0" w:space="0" w:color="auto"/>
        <w:left w:val="none" w:sz="0" w:space="0" w:color="auto"/>
        <w:bottom w:val="none" w:sz="0" w:space="0" w:color="auto"/>
        <w:right w:val="none" w:sz="0" w:space="0" w:color="auto"/>
      </w:divBdr>
    </w:div>
    <w:div w:id="1295016125">
      <w:bodyDiv w:val="1"/>
      <w:marLeft w:val="0"/>
      <w:marRight w:val="0"/>
      <w:marTop w:val="0"/>
      <w:marBottom w:val="0"/>
      <w:divBdr>
        <w:top w:val="none" w:sz="0" w:space="0" w:color="auto"/>
        <w:left w:val="none" w:sz="0" w:space="0" w:color="auto"/>
        <w:bottom w:val="none" w:sz="0" w:space="0" w:color="auto"/>
        <w:right w:val="none" w:sz="0" w:space="0" w:color="auto"/>
      </w:divBdr>
    </w:div>
    <w:div w:id="1454710851">
      <w:bodyDiv w:val="1"/>
      <w:marLeft w:val="0"/>
      <w:marRight w:val="0"/>
      <w:marTop w:val="0"/>
      <w:marBottom w:val="0"/>
      <w:divBdr>
        <w:top w:val="none" w:sz="0" w:space="0" w:color="auto"/>
        <w:left w:val="none" w:sz="0" w:space="0" w:color="auto"/>
        <w:bottom w:val="none" w:sz="0" w:space="0" w:color="auto"/>
        <w:right w:val="none" w:sz="0" w:space="0" w:color="auto"/>
      </w:divBdr>
      <w:divsChild>
        <w:div w:id="45420694">
          <w:marLeft w:val="0"/>
          <w:marRight w:val="0"/>
          <w:marTop w:val="0"/>
          <w:marBottom w:val="0"/>
          <w:divBdr>
            <w:top w:val="none" w:sz="0" w:space="0" w:color="auto"/>
            <w:left w:val="none" w:sz="0" w:space="0" w:color="auto"/>
            <w:bottom w:val="none" w:sz="0" w:space="0" w:color="auto"/>
            <w:right w:val="none" w:sz="0" w:space="0" w:color="auto"/>
          </w:divBdr>
          <w:divsChild>
            <w:div w:id="361710864">
              <w:marLeft w:val="0"/>
              <w:marRight w:val="0"/>
              <w:marTop w:val="0"/>
              <w:marBottom w:val="0"/>
              <w:divBdr>
                <w:top w:val="none" w:sz="0" w:space="0" w:color="auto"/>
                <w:left w:val="none" w:sz="0" w:space="0" w:color="auto"/>
                <w:bottom w:val="none" w:sz="0" w:space="0" w:color="auto"/>
                <w:right w:val="none" w:sz="0" w:space="0" w:color="auto"/>
              </w:divBdr>
              <w:divsChild>
                <w:div w:id="21138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609157">
          <w:marLeft w:val="0"/>
          <w:marRight w:val="0"/>
          <w:marTop w:val="0"/>
          <w:marBottom w:val="0"/>
          <w:divBdr>
            <w:top w:val="none" w:sz="0" w:space="0" w:color="auto"/>
            <w:left w:val="none" w:sz="0" w:space="0" w:color="auto"/>
            <w:bottom w:val="none" w:sz="0" w:space="0" w:color="auto"/>
            <w:right w:val="none" w:sz="0" w:space="0" w:color="auto"/>
          </w:divBdr>
          <w:divsChild>
            <w:div w:id="450828835">
              <w:marLeft w:val="-225"/>
              <w:marRight w:val="-225"/>
              <w:marTop w:val="0"/>
              <w:marBottom w:val="0"/>
              <w:divBdr>
                <w:top w:val="none" w:sz="0" w:space="0" w:color="auto"/>
                <w:left w:val="none" w:sz="0" w:space="0" w:color="auto"/>
                <w:bottom w:val="none" w:sz="0" w:space="0" w:color="auto"/>
                <w:right w:val="none" w:sz="0" w:space="0" w:color="auto"/>
              </w:divBdr>
              <w:divsChild>
                <w:div w:id="1594821960">
                  <w:marLeft w:val="0"/>
                  <w:marRight w:val="0"/>
                  <w:marTop w:val="0"/>
                  <w:marBottom w:val="0"/>
                  <w:divBdr>
                    <w:top w:val="none" w:sz="0" w:space="0" w:color="auto"/>
                    <w:left w:val="none" w:sz="0" w:space="0" w:color="auto"/>
                    <w:bottom w:val="none" w:sz="0" w:space="0" w:color="auto"/>
                    <w:right w:val="none" w:sz="0" w:space="0" w:color="auto"/>
                  </w:divBdr>
                  <w:divsChild>
                    <w:div w:id="360938464">
                      <w:marLeft w:val="-225"/>
                      <w:marRight w:val="-225"/>
                      <w:marTop w:val="0"/>
                      <w:marBottom w:val="0"/>
                      <w:divBdr>
                        <w:top w:val="none" w:sz="0" w:space="0" w:color="auto"/>
                        <w:left w:val="none" w:sz="0" w:space="0" w:color="auto"/>
                        <w:bottom w:val="none" w:sz="0" w:space="0" w:color="auto"/>
                        <w:right w:val="none" w:sz="0" w:space="0" w:color="auto"/>
                      </w:divBdr>
                      <w:divsChild>
                        <w:div w:id="136559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69398">
              <w:marLeft w:val="0"/>
              <w:marRight w:val="0"/>
              <w:marTop w:val="0"/>
              <w:marBottom w:val="0"/>
              <w:divBdr>
                <w:top w:val="none" w:sz="0" w:space="0" w:color="auto"/>
                <w:left w:val="none" w:sz="0" w:space="0" w:color="auto"/>
                <w:bottom w:val="none" w:sz="0" w:space="0" w:color="auto"/>
                <w:right w:val="none" w:sz="0" w:space="0" w:color="auto"/>
              </w:divBdr>
              <w:divsChild>
                <w:div w:id="12923126">
                  <w:marLeft w:val="-225"/>
                  <w:marRight w:val="-225"/>
                  <w:marTop w:val="0"/>
                  <w:marBottom w:val="0"/>
                  <w:divBdr>
                    <w:top w:val="none" w:sz="0" w:space="0" w:color="auto"/>
                    <w:left w:val="none" w:sz="0" w:space="0" w:color="auto"/>
                    <w:bottom w:val="none" w:sz="0" w:space="0" w:color="auto"/>
                    <w:right w:val="none" w:sz="0" w:space="0" w:color="auto"/>
                  </w:divBdr>
                  <w:divsChild>
                    <w:div w:id="192205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36822">
              <w:marLeft w:val="0"/>
              <w:marRight w:val="0"/>
              <w:marTop w:val="0"/>
              <w:marBottom w:val="0"/>
              <w:divBdr>
                <w:top w:val="none" w:sz="0" w:space="0" w:color="auto"/>
                <w:left w:val="none" w:sz="0" w:space="0" w:color="auto"/>
                <w:bottom w:val="none" w:sz="0" w:space="0" w:color="auto"/>
                <w:right w:val="none" w:sz="0" w:space="0" w:color="auto"/>
              </w:divBdr>
              <w:divsChild>
                <w:div w:id="1950887660">
                  <w:marLeft w:val="-225"/>
                  <w:marRight w:val="-225"/>
                  <w:marTop w:val="0"/>
                  <w:marBottom w:val="0"/>
                  <w:divBdr>
                    <w:top w:val="none" w:sz="0" w:space="0" w:color="auto"/>
                    <w:left w:val="none" w:sz="0" w:space="0" w:color="auto"/>
                    <w:bottom w:val="none" w:sz="0" w:space="0" w:color="auto"/>
                    <w:right w:val="none" w:sz="0" w:space="0" w:color="auto"/>
                  </w:divBdr>
                  <w:divsChild>
                    <w:div w:id="248123563">
                      <w:marLeft w:val="0"/>
                      <w:marRight w:val="0"/>
                      <w:marTop w:val="0"/>
                      <w:marBottom w:val="0"/>
                      <w:divBdr>
                        <w:top w:val="none" w:sz="0" w:space="0" w:color="auto"/>
                        <w:left w:val="none" w:sz="0" w:space="0" w:color="auto"/>
                        <w:bottom w:val="none" w:sz="0" w:space="0" w:color="auto"/>
                        <w:right w:val="none" w:sz="0" w:space="0" w:color="auto"/>
                      </w:divBdr>
                      <w:divsChild>
                        <w:div w:id="1539123950">
                          <w:marLeft w:val="0"/>
                          <w:marRight w:val="0"/>
                          <w:marTop w:val="0"/>
                          <w:marBottom w:val="0"/>
                          <w:divBdr>
                            <w:top w:val="none" w:sz="0" w:space="0" w:color="auto"/>
                            <w:left w:val="none" w:sz="0" w:space="0" w:color="auto"/>
                            <w:bottom w:val="none" w:sz="0" w:space="0" w:color="auto"/>
                            <w:right w:val="none" w:sz="0" w:space="0" w:color="auto"/>
                          </w:divBdr>
                          <w:divsChild>
                            <w:div w:id="616836188">
                              <w:marLeft w:val="0"/>
                              <w:marRight w:val="0"/>
                              <w:marTop w:val="0"/>
                              <w:marBottom w:val="0"/>
                              <w:divBdr>
                                <w:top w:val="none" w:sz="0" w:space="0" w:color="auto"/>
                                <w:left w:val="none" w:sz="0" w:space="0" w:color="auto"/>
                                <w:bottom w:val="none" w:sz="0" w:space="0" w:color="auto"/>
                                <w:right w:val="none" w:sz="0" w:space="0" w:color="auto"/>
                              </w:divBdr>
                              <w:divsChild>
                                <w:div w:id="1517503705">
                                  <w:marLeft w:val="-225"/>
                                  <w:marRight w:val="-225"/>
                                  <w:marTop w:val="0"/>
                                  <w:marBottom w:val="0"/>
                                  <w:divBdr>
                                    <w:top w:val="none" w:sz="0" w:space="0" w:color="auto"/>
                                    <w:left w:val="none" w:sz="0" w:space="0" w:color="auto"/>
                                    <w:bottom w:val="none" w:sz="0" w:space="0" w:color="auto"/>
                                    <w:right w:val="none" w:sz="0" w:space="0" w:color="auto"/>
                                  </w:divBdr>
                                  <w:divsChild>
                                    <w:div w:id="546533092">
                                      <w:marLeft w:val="0"/>
                                      <w:marRight w:val="0"/>
                                      <w:marTop w:val="0"/>
                                      <w:marBottom w:val="0"/>
                                      <w:divBdr>
                                        <w:top w:val="none" w:sz="0" w:space="0" w:color="auto"/>
                                        <w:left w:val="none" w:sz="0" w:space="0" w:color="auto"/>
                                        <w:bottom w:val="none" w:sz="0" w:space="0" w:color="auto"/>
                                        <w:right w:val="none" w:sz="0" w:space="0" w:color="auto"/>
                                      </w:divBdr>
                                    </w:div>
                                  </w:divsChild>
                                </w:div>
                                <w:div w:id="1502624658">
                                  <w:marLeft w:val="0"/>
                                  <w:marRight w:val="0"/>
                                  <w:marTop w:val="0"/>
                                  <w:marBottom w:val="0"/>
                                  <w:divBdr>
                                    <w:top w:val="none" w:sz="0" w:space="0" w:color="auto"/>
                                    <w:left w:val="none" w:sz="0" w:space="0" w:color="auto"/>
                                    <w:bottom w:val="none" w:sz="0" w:space="0" w:color="auto"/>
                                    <w:right w:val="none" w:sz="0" w:space="0" w:color="auto"/>
                                  </w:divBdr>
                                </w:div>
                                <w:div w:id="18975485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3015062">
      <w:bodyDiv w:val="1"/>
      <w:marLeft w:val="0"/>
      <w:marRight w:val="0"/>
      <w:marTop w:val="0"/>
      <w:marBottom w:val="0"/>
      <w:divBdr>
        <w:top w:val="none" w:sz="0" w:space="0" w:color="auto"/>
        <w:left w:val="none" w:sz="0" w:space="0" w:color="auto"/>
        <w:bottom w:val="none" w:sz="0" w:space="0" w:color="auto"/>
        <w:right w:val="none" w:sz="0" w:space="0" w:color="auto"/>
      </w:divBdr>
    </w:div>
    <w:div w:id="181548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74BD9E-7FD4-48B4-9646-660B3FE05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3120</Words>
  <Characters>17784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Reevy</dc:creator>
  <cp:keywords/>
  <dc:description/>
  <cp:lastModifiedBy>Matthew Piper</cp:lastModifiedBy>
  <cp:revision>2</cp:revision>
  <cp:lastPrinted>2019-08-08T13:55:00Z</cp:lastPrinted>
  <dcterms:created xsi:type="dcterms:W3CDTF">2021-08-04T17:01:00Z</dcterms:created>
  <dcterms:modified xsi:type="dcterms:W3CDTF">2021-08-04T17:01:00Z</dcterms:modified>
</cp:coreProperties>
</file>