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F10DD" w14:textId="77777777" w:rsidR="008B423D" w:rsidRDefault="008B423D" w:rsidP="002168AB">
      <w:pPr>
        <w:spacing w:before="100" w:beforeAutospacing="1" w:after="100" w:afterAutospacing="1"/>
        <w:rPr>
          <w:rFonts w:ascii="Arial" w:hAnsi="Arial" w:cs="Arial"/>
          <w:sz w:val="28"/>
          <w:szCs w:val="28"/>
        </w:rPr>
      </w:pPr>
    </w:p>
    <w:p w14:paraId="3FB4496E" w14:textId="128E6AAC" w:rsidR="000C544F" w:rsidRPr="00C92C15" w:rsidRDefault="000C544F" w:rsidP="002168AB">
      <w:pPr>
        <w:spacing w:before="100" w:beforeAutospacing="1" w:after="100" w:afterAutospacing="1"/>
        <w:rPr>
          <w:rFonts w:ascii="Arial" w:hAnsi="Arial" w:cs="Arial"/>
          <w:sz w:val="28"/>
          <w:szCs w:val="28"/>
        </w:rPr>
      </w:pPr>
      <w:r w:rsidRPr="00C92C15">
        <w:rPr>
          <w:rFonts w:ascii="Arial" w:hAnsi="Arial" w:cs="Arial"/>
          <w:sz w:val="28"/>
          <w:szCs w:val="28"/>
        </w:rPr>
        <w:t>Commercial Client ~</w:t>
      </w:r>
      <w:r w:rsidR="00B60F1D">
        <w:rPr>
          <w:rFonts w:ascii="Arial" w:hAnsi="Arial" w:cs="Arial"/>
          <w:sz w:val="28"/>
          <w:szCs w:val="28"/>
        </w:rPr>
        <w:t xml:space="preserve"> </w:t>
      </w:r>
      <w:r w:rsidR="002E5F4B">
        <w:rPr>
          <w:rFonts w:ascii="Arial" w:hAnsi="Arial" w:cs="Arial"/>
          <w:sz w:val="28"/>
          <w:szCs w:val="28"/>
        </w:rPr>
        <w:t xml:space="preserve">October </w:t>
      </w:r>
      <w:r w:rsidRPr="00C92C15">
        <w:rPr>
          <w:rFonts w:ascii="Arial" w:hAnsi="Arial" w:cs="Arial"/>
          <w:sz w:val="28"/>
          <w:szCs w:val="28"/>
        </w:rPr>
        <w:t>20</w:t>
      </w:r>
      <w:r w:rsidR="00D029E5">
        <w:rPr>
          <w:rFonts w:ascii="Arial" w:hAnsi="Arial" w:cs="Arial"/>
          <w:sz w:val="28"/>
          <w:szCs w:val="28"/>
        </w:rPr>
        <w:t>2</w:t>
      </w:r>
      <w:r w:rsidR="00371F39">
        <w:rPr>
          <w:rFonts w:ascii="Arial" w:hAnsi="Arial" w:cs="Arial"/>
          <w:sz w:val="28"/>
          <w:szCs w:val="28"/>
        </w:rPr>
        <w:t>1</w:t>
      </w:r>
    </w:p>
    <w:p w14:paraId="63CA08D1" w14:textId="45EBDEE6" w:rsidR="000C544F" w:rsidRDefault="000C544F" w:rsidP="002168AB">
      <w:pPr>
        <w:spacing w:before="100" w:beforeAutospacing="1" w:after="100" w:afterAutospacing="1"/>
        <w:rPr>
          <w:rFonts w:ascii="Arial" w:eastAsia="Arial" w:hAnsi="Arial" w:cs="Arial"/>
          <w:b/>
          <w:lang w:eastAsia="en-GB"/>
        </w:rPr>
      </w:pPr>
      <w:r w:rsidRPr="00C92C15">
        <w:rPr>
          <w:rFonts w:ascii="Arial" w:eastAsia="Arial" w:hAnsi="Arial" w:cs="Arial"/>
          <w:b/>
          <w:lang w:eastAsia="en-GB"/>
        </w:rPr>
        <w:t xml:space="preserve">Commercial Client Titles ~ </w:t>
      </w:r>
      <w:r w:rsidR="002E5F4B">
        <w:rPr>
          <w:rFonts w:ascii="Arial" w:eastAsia="Arial" w:hAnsi="Arial" w:cs="Arial"/>
          <w:b/>
          <w:lang w:eastAsia="en-GB"/>
        </w:rPr>
        <w:t xml:space="preserve">October </w:t>
      </w:r>
      <w:r w:rsidRPr="00C92C15">
        <w:rPr>
          <w:rFonts w:ascii="Arial" w:eastAsia="Arial" w:hAnsi="Arial" w:cs="Arial"/>
          <w:b/>
          <w:lang w:eastAsia="en-GB"/>
        </w:rPr>
        <w:t>20</w:t>
      </w:r>
      <w:r w:rsidR="00D029E5">
        <w:rPr>
          <w:rFonts w:ascii="Arial" w:eastAsia="Arial" w:hAnsi="Arial" w:cs="Arial"/>
          <w:b/>
          <w:lang w:eastAsia="en-GB"/>
        </w:rPr>
        <w:t>2</w:t>
      </w:r>
      <w:r w:rsidR="00371F39">
        <w:rPr>
          <w:rFonts w:ascii="Arial" w:eastAsia="Arial" w:hAnsi="Arial" w:cs="Arial"/>
          <w:b/>
          <w:lang w:eastAsia="en-GB"/>
        </w:rPr>
        <w:t>1</w:t>
      </w:r>
    </w:p>
    <w:p w14:paraId="05170CBD" w14:textId="0A67EC93" w:rsidR="000C544F" w:rsidRDefault="000C544F" w:rsidP="00811703">
      <w:pPr>
        <w:rPr>
          <w:rFonts w:ascii="Arial" w:eastAsia="Arial" w:hAnsi="Arial" w:cs="Arial"/>
          <w:b/>
          <w:lang w:eastAsia="en-GB"/>
        </w:rPr>
      </w:pPr>
      <w:r w:rsidRPr="00C92C15">
        <w:rPr>
          <w:rFonts w:ascii="Arial" w:eastAsia="Arial" w:hAnsi="Arial" w:cs="Arial"/>
          <w:b/>
          <w:lang w:eastAsia="en-GB"/>
        </w:rPr>
        <w:t>General</w:t>
      </w:r>
    </w:p>
    <w:p w14:paraId="22286925" w14:textId="4E15A628" w:rsidR="003131C3" w:rsidRPr="00F316DF" w:rsidRDefault="001D639D" w:rsidP="00811703">
      <w:pPr>
        <w:rPr>
          <w:rFonts w:ascii="Arial" w:eastAsia="Times New Roman" w:hAnsi="Arial" w:cs="Arial"/>
          <w:bCs/>
          <w:lang w:eastAsia="en-GB"/>
        </w:rPr>
      </w:pPr>
      <w:r w:rsidRPr="001D639D">
        <w:rPr>
          <w:rFonts w:ascii="Arial" w:eastAsia="Times New Roman" w:hAnsi="Arial" w:cs="Arial"/>
          <w:bCs/>
          <w:lang w:eastAsia="en-GB"/>
        </w:rPr>
        <w:t>Dental Practice Owner Vicariously Liable for Sub</w:t>
      </w:r>
      <w:r w:rsidR="00532057">
        <w:rPr>
          <w:rFonts w:ascii="Arial" w:eastAsia="Times New Roman" w:hAnsi="Arial" w:cs="Arial"/>
          <w:bCs/>
          <w:lang w:eastAsia="en-GB"/>
        </w:rPr>
        <w:t>c</w:t>
      </w:r>
      <w:r w:rsidRPr="001D639D">
        <w:rPr>
          <w:rFonts w:ascii="Arial" w:eastAsia="Times New Roman" w:hAnsi="Arial" w:cs="Arial"/>
          <w:bCs/>
          <w:lang w:eastAsia="en-GB"/>
        </w:rPr>
        <w:t>ontractors</w:t>
      </w:r>
      <w:r w:rsidR="007B40F7">
        <w:rPr>
          <w:rFonts w:ascii="Arial" w:eastAsia="Times New Roman" w:hAnsi="Arial" w:cs="Arial"/>
          <w:bCs/>
          <w:lang w:eastAsia="en-GB"/>
        </w:rPr>
        <w:t>'</w:t>
      </w:r>
      <w:r w:rsidRPr="001D639D">
        <w:rPr>
          <w:rFonts w:ascii="Arial" w:eastAsia="Times New Roman" w:hAnsi="Arial" w:cs="Arial"/>
          <w:bCs/>
          <w:lang w:eastAsia="en-GB"/>
        </w:rPr>
        <w:t xml:space="preserve"> Acts</w:t>
      </w:r>
    </w:p>
    <w:p w14:paraId="4A50412B" w14:textId="77777777" w:rsidR="001D639D" w:rsidRPr="00532057" w:rsidRDefault="001D639D" w:rsidP="00811703">
      <w:pPr>
        <w:rPr>
          <w:rFonts w:ascii="Arial" w:eastAsia="Times New Roman" w:hAnsi="Arial" w:cs="Arial"/>
          <w:bCs/>
          <w:lang w:eastAsia="en-GB"/>
        </w:rPr>
      </w:pPr>
    </w:p>
    <w:p w14:paraId="3F1F33D5" w14:textId="0815E073" w:rsidR="00624F99" w:rsidRDefault="00624F99" w:rsidP="00811703">
      <w:pPr>
        <w:rPr>
          <w:rFonts w:ascii="Arial" w:eastAsia="Times New Roman" w:hAnsi="Arial" w:cs="Arial"/>
          <w:b/>
          <w:bCs/>
          <w:lang w:eastAsia="en-GB"/>
        </w:rPr>
      </w:pPr>
      <w:r>
        <w:rPr>
          <w:rFonts w:ascii="Arial" w:eastAsia="Times New Roman" w:hAnsi="Arial" w:cs="Arial"/>
          <w:b/>
          <w:bCs/>
          <w:lang w:eastAsia="en-GB"/>
        </w:rPr>
        <w:t>Property</w:t>
      </w:r>
    </w:p>
    <w:p w14:paraId="252FB571" w14:textId="67210C94" w:rsidR="003131C3" w:rsidRDefault="001D639D" w:rsidP="00811703">
      <w:pPr>
        <w:rPr>
          <w:rFonts w:ascii="Arial" w:eastAsia="Times New Roman" w:hAnsi="Arial" w:cs="Arial"/>
          <w:lang w:eastAsia="en-GB"/>
        </w:rPr>
      </w:pPr>
      <w:r w:rsidRPr="001D639D">
        <w:rPr>
          <w:rFonts w:ascii="Arial" w:eastAsia="Times New Roman" w:hAnsi="Arial" w:cs="Arial"/>
          <w:lang w:eastAsia="en-GB"/>
        </w:rPr>
        <w:t>Conversion of Listed Buildings and VAT Zero-Rating – Guideline Ruling</w:t>
      </w:r>
    </w:p>
    <w:p w14:paraId="026A4149" w14:textId="77777777" w:rsidR="001D639D" w:rsidRPr="00532057" w:rsidRDefault="001D639D" w:rsidP="00811703">
      <w:pPr>
        <w:rPr>
          <w:rFonts w:ascii="Arial" w:eastAsia="Arial" w:hAnsi="Arial" w:cs="Arial"/>
          <w:lang w:eastAsia="en-GB"/>
        </w:rPr>
      </w:pPr>
    </w:p>
    <w:p w14:paraId="66E2ECC8" w14:textId="79EC89AA" w:rsidR="00982395" w:rsidRDefault="00982395" w:rsidP="00811703">
      <w:pPr>
        <w:rPr>
          <w:rFonts w:ascii="Arial" w:eastAsia="Arial" w:hAnsi="Arial" w:cs="Arial"/>
          <w:b/>
          <w:lang w:eastAsia="en-GB"/>
        </w:rPr>
      </w:pPr>
      <w:r w:rsidRPr="00C92C15">
        <w:rPr>
          <w:rFonts w:ascii="Arial" w:eastAsia="Arial" w:hAnsi="Arial" w:cs="Arial"/>
          <w:b/>
          <w:lang w:eastAsia="en-GB"/>
        </w:rPr>
        <w:t>Tax</w:t>
      </w:r>
    </w:p>
    <w:p w14:paraId="520F77D1" w14:textId="3C803F97" w:rsidR="003131C3" w:rsidRDefault="001D639D" w:rsidP="00811703">
      <w:pPr>
        <w:rPr>
          <w:rFonts w:ascii="Arial" w:eastAsia="Arial" w:hAnsi="Arial" w:cs="Arial"/>
          <w:bCs/>
          <w:lang w:eastAsia="en-GB"/>
        </w:rPr>
      </w:pPr>
      <w:r w:rsidRPr="001D639D">
        <w:rPr>
          <w:rFonts w:ascii="Arial" w:eastAsia="Arial" w:hAnsi="Arial" w:cs="Arial"/>
          <w:bCs/>
          <w:lang w:eastAsia="en-GB"/>
        </w:rPr>
        <w:t>Received an Adverse Tax Decision? Don</w:t>
      </w:r>
      <w:r w:rsidR="007B40F7">
        <w:rPr>
          <w:rFonts w:ascii="Arial" w:eastAsia="Arial" w:hAnsi="Arial" w:cs="Arial"/>
          <w:bCs/>
          <w:lang w:eastAsia="en-GB"/>
        </w:rPr>
        <w:t>'</w:t>
      </w:r>
      <w:r w:rsidRPr="001D639D">
        <w:rPr>
          <w:rFonts w:ascii="Arial" w:eastAsia="Arial" w:hAnsi="Arial" w:cs="Arial"/>
          <w:bCs/>
          <w:lang w:eastAsia="en-GB"/>
        </w:rPr>
        <w:t>t Delay Seeking Professional Advice</w:t>
      </w:r>
    </w:p>
    <w:p w14:paraId="5EC0C708" w14:textId="77777777" w:rsidR="001D639D" w:rsidRPr="00532057" w:rsidRDefault="001D639D" w:rsidP="00811703">
      <w:pPr>
        <w:rPr>
          <w:rFonts w:ascii="Arial" w:eastAsia="Arial" w:hAnsi="Arial" w:cs="Arial"/>
          <w:lang w:eastAsia="en-GB"/>
        </w:rPr>
      </w:pPr>
    </w:p>
    <w:p w14:paraId="05AD1CF9" w14:textId="729BD17E" w:rsidR="006C3420" w:rsidRDefault="006C3420" w:rsidP="00811703">
      <w:pPr>
        <w:rPr>
          <w:rFonts w:ascii="Arial" w:eastAsia="Arial" w:hAnsi="Arial" w:cs="Arial"/>
          <w:b/>
          <w:lang w:eastAsia="en-GB"/>
        </w:rPr>
      </w:pPr>
      <w:r w:rsidRPr="00BF0F1F">
        <w:rPr>
          <w:rFonts w:ascii="Arial" w:eastAsia="Arial" w:hAnsi="Arial" w:cs="Arial"/>
          <w:b/>
          <w:lang w:eastAsia="en-GB"/>
        </w:rPr>
        <w:t>Com</w:t>
      </w:r>
      <w:r>
        <w:rPr>
          <w:rFonts w:ascii="Arial" w:eastAsia="Arial" w:hAnsi="Arial" w:cs="Arial"/>
          <w:b/>
          <w:lang w:eastAsia="en-GB"/>
        </w:rPr>
        <w:t>mercial Litigation</w:t>
      </w:r>
    </w:p>
    <w:p w14:paraId="62B5E095" w14:textId="1C2724D5" w:rsidR="00892D85" w:rsidRPr="00892D85" w:rsidRDefault="001D639D" w:rsidP="00811703">
      <w:pPr>
        <w:rPr>
          <w:rFonts w:ascii="Arial" w:eastAsia="Arial" w:hAnsi="Arial" w:cs="Arial"/>
          <w:bCs/>
          <w:lang w:eastAsia="en-GB"/>
        </w:rPr>
      </w:pPr>
      <w:r w:rsidRPr="001D639D">
        <w:rPr>
          <w:rFonts w:ascii="Arial" w:eastAsia="Arial" w:hAnsi="Arial" w:cs="Arial"/>
          <w:bCs/>
          <w:lang w:eastAsia="en-GB"/>
        </w:rPr>
        <w:t>Obey Court Orders</w:t>
      </w:r>
      <w:r w:rsidR="00711440">
        <w:rPr>
          <w:rFonts w:ascii="Arial" w:eastAsia="Arial" w:hAnsi="Arial" w:cs="Arial"/>
          <w:bCs/>
          <w:lang w:eastAsia="en-GB"/>
        </w:rPr>
        <w:t xml:space="preserve"> </w:t>
      </w:r>
      <w:r w:rsidR="009A5F65">
        <w:rPr>
          <w:rFonts w:ascii="Arial" w:eastAsia="Arial" w:hAnsi="Arial" w:cs="Arial"/>
          <w:bCs/>
          <w:lang w:eastAsia="en-GB"/>
        </w:rPr>
        <w:t>O</w:t>
      </w:r>
      <w:r w:rsidRPr="001D639D">
        <w:rPr>
          <w:rFonts w:ascii="Arial" w:eastAsia="Arial" w:hAnsi="Arial" w:cs="Arial"/>
          <w:bCs/>
          <w:lang w:eastAsia="en-GB"/>
        </w:rPr>
        <w:t>r Else! Businessman Receives Maximum Sentence</w:t>
      </w:r>
    </w:p>
    <w:p w14:paraId="7137DA19" w14:textId="77777777" w:rsidR="001D639D" w:rsidRPr="00532057" w:rsidRDefault="001D639D" w:rsidP="00811703">
      <w:pPr>
        <w:rPr>
          <w:rFonts w:ascii="Arial" w:eastAsia="Arial" w:hAnsi="Arial" w:cs="Arial"/>
          <w:lang w:eastAsia="en-GB"/>
        </w:rPr>
      </w:pPr>
      <w:bookmarkStart w:id="0" w:name="_Hlk70415619"/>
    </w:p>
    <w:p w14:paraId="54354E6C" w14:textId="54A8F7D0" w:rsidR="006522CF" w:rsidRDefault="006522CF" w:rsidP="00811703">
      <w:pPr>
        <w:rPr>
          <w:rFonts w:ascii="Arial" w:eastAsia="Arial" w:hAnsi="Arial" w:cs="Arial"/>
          <w:b/>
          <w:lang w:eastAsia="en-GB"/>
        </w:rPr>
      </w:pPr>
      <w:bookmarkStart w:id="1" w:name="_Hlk83813164"/>
      <w:r w:rsidRPr="00C5768B">
        <w:rPr>
          <w:rFonts w:ascii="Arial" w:eastAsia="Arial" w:hAnsi="Arial" w:cs="Arial"/>
          <w:b/>
          <w:lang w:eastAsia="en-GB"/>
        </w:rPr>
        <w:t>Com</w:t>
      </w:r>
      <w:bookmarkEnd w:id="0"/>
      <w:r>
        <w:rPr>
          <w:rFonts w:ascii="Arial" w:eastAsia="Arial" w:hAnsi="Arial" w:cs="Arial"/>
          <w:b/>
          <w:lang w:eastAsia="en-GB"/>
        </w:rPr>
        <w:t>p</w:t>
      </w:r>
      <w:bookmarkEnd w:id="1"/>
      <w:r>
        <w:rPr>
          <w:rFonts w:ascii="Arial" w:eastAsia="Arial" w:hAnsi="Arial" w:cs="Arial"/>
          <w:b/>
          <w:lang w:eastAsia="en-GB"/>
        </w:rPr>
        <w:t>any</w:t>
      </w:r>
    </w:p>
    <w:p w14:paraId="3383267C" w14:textId="64C41753" w:rsidR="00061D0D" w:rsidRDefault="001D639D" w:rsidP="00811703">
      <w:pPr>
        <w:rPr>
          <w:rFonts w:ascii="Arial" w:eastAsia="Arial" w:hAnsi="Arial" w:cs="Arial"/>
          <w:lang w:eastAsia="en-GB"/>
        </w:rPr>
      </w:pPr>
      <w:r w:rsidRPr="001D639D">
        <w:rPr>
          <w:rFonts w:ascii="Arial" w:eastAsia="Arial" w:hAnsi="Arial" w:cs="Arial"/>
          <w:lang w:eastAsia="en-GB"/>
        </w:rPr>
        <w:t xml:space="preserve">Business Relationship Fallen Apart? The Law Can Help Pick </w:t>
      </w:r>
      <w:r w:rsidR="003F7613">
        <w:rPr>
          <w:rFonts w:ascii="Arial" w:eastAsia="Arial" w:hAnsi="Arial" w:cs="Arial"/>
          <w:lang w:eastAsia="en-GB"/>
        </w:rPr>
        <w:t>U</w:t>
      </w:r>
      <w:r w:rsidR="003F7613" w:rsidRPr="001D639D">
        <w:rPr>
          <w:rFonts w:ascii="Arial" w:eastAsia="Arial" w:hAnsi="Arial" w:cs="Arial"/>
          <w:lang w:eastAsia="en-GB"/>
        </w:rPr>
        <w:t xml:space="preserve">p </w:t>
      </w:r>
      <w:r w:rsidRPr="001D639D">
        <w:rPr>
          <w:rFonts w:ascii="Arial" w:eastAsia="Arial" w:hAnsi="Arial" w:cs="Arial"/>
          <w:lang w:eastAsia="en-GB"/>
        </w:rPr>
        <w:t>the Pieces</w:t>
      </w:r>
    </w:p>
    <w:p w14:paraId="1B6F396C" w14:textId="14FAB682" w:rsidR="001D639D" w:rsidRDefault="001D639D" w:rsidP="00811703">
      <w:pPr>
        <w:rPr>
          <w:rFonts w:ascii="Arial" w:eastAsia="Arial" w:hAnsi="Arial" w:cs="Arial"/>
          <w:lang w:eastAsia="en-GB"/>
        </w:rPr>
      </w:pPr>
    </w:p>
    <w:p w14:paraId="71385DA2" w14:textId="3DA0823E" w:rsidR="001D639D" w:rsidRDefault="001D639D" w:rsidP="00811703">
      <w:pPr>
        <w:rPr>
          <w:rFonts w:ascii="Arial" w:eastAsia="Arial" w:hAnsi="Arial" w:cs="Arial"/>
          <w:b/>
          <w:lang w:eastAsia="en-GB"/>
        </w:rPr>
      </w:pPr>
      <w:r w:rsidRPr="00C5768B">
        <w:rPr>
          <w:rFonts w:ascii="Arial" w:eastAsia="Arial" w:hAnsi="Arial" w:cs="Arial"/>
          <w:b/>
          <w:lang w:eastAsia="en-GB"/>
        </w:rPr>
        <w:t>Com</w:t>
      </w:r>
      <w:r>
        <w:rPr>
          <w:rFonts w:ascii="Arial" w:eastAsia="Arial" w:hAnsi="Arial" w:cs="Arial"/>
          <w:b/>
          <w:lang w:eastAsia="en-GB"/>
        </w:rPr>
        <w:t>petition</w:t>
      </w:r>
    </w:p>
    <w:p w14:paraId="51B16C73" w14:textId="69BD656C" w:rsidR="001D639D" w:rsidRPr="00EF4943" w:rsidRDefault="001D639D" w:rsidP="00811703">
      <w:pPr>
        <w:rPr>
          <w:rFonts w:ascii="Arial" w:eastAsia="Arial" w:hAnsi="Arial" w:cs="Arial"/>
          <w:lang w:eastAsia="en-GB"/>
        </w:rPr>
      </w:pPr>
      <w:r w:rsidRPr="001D639D">
        <w:rPr>
          <w:rFonts w:ascii="Arial" w:eastAsia="Arial" w:hAnsi="Arial" w:cs="Arial"/>
          <w:lang w:eastAsia="en-GB"/>
        </w:rPr>
        <w:t>Wholesaler</w:t>
      </w:r>
      <w:r w:rsidR="007B40F7">
        <w:rPr>
          <w:rFonts w:ascii="Arial" w:eastAsia="Arial" w:hAnsi="Arial" w:cs="Arial"/>
          <w:lang w:eastAsia="en-GB"/>
        </w:rPr>
        <w:t>'</w:t>
      </w:r>
      <w:r w:rsidRPr="001D639D">
        <w:rPr>
          <w:rFonts w:ascii="Arial" w:eastAsia="Arial" w:hAnsi="Arial" w:cs="Arial"/>
          <w:lang w:eastAsia="en-GB"/>
        </w:rPr>
        <w:t>s Competition Complaint Founders on Inadequately Pleaded Case</w:t>
      </w:r>
    </w:p>
    <w:p w14:paraId="335B5840" w14:textId="77777777" w:rsidR="001D639D" w:rsidRPr="00532057" w:rsidRDefault="001D639D" w:rsidP="00811703">
      <w:pPr>
        <w:rPr>
          <w:rFonts w:ascii="Arial" w:eastAsia="Arial" w:hAnsi="Arial" w:cs="Arial"/>
          <w:lang w:eastAsia="en-GB"/>
        </w:rPr>
      </w:pPr>
    </w:p>
    <w:p w14:paraId="258A4D6B" w14:textId="02AC9EF9" w:rsidR="00811703" w:rsidRDefault="00811703" w:rsidP="00811703">
      <w:pPr>
        <w:rPr>
          <w:rFonts w:ascii="Arial" w:eastAsia="Arial" w:hAnsi="Arial" w:cs="Arial"/>
          <w:b/>
          <w:lang w:eastAsia="en-GB"/>
        </w:rPr>
      </w:pPr>
      <w:r w:rsidRPr="00C5768B">
        <w:rPr>
          <w:rFonts w:ascii="Arial" w:eastAsia="Arial" w:hAnsi="Arial" w:cs="Arial"/>
          <w:b/>
          <w:lang w:eastAsia="en-GB"/>
        </w:rPr>
        <w:t>Contract</w:t>
      </w:r>
    </w:p>
    <w:p w14:paraId="4362CA47" w14:textId="0B025A9D" w:rsidR="003C3F83" w:rsidRPr="00CA49C4" w:rsidRDefault="001D639D" w:rsidP="00811703">
      <w:pPr>
        <w:rPr>
          <w:rFonts w:ascii="Arial" w:eastAsia="Arial" w:hAnsi="Arial" w:cs="Arial"/>
          <w:bCs/>
          <w:lang w:eastAsia="en-GB"/>
        </w:rPr>
      </w:pPr>
      <w:r w:rsidRPr="001D639D">
        <w:rPr>
          <w:rFonts w:ascii="Arial" w:eastAsia="Arial" w:hAnsi="Arial" w:cs="Arial"/>
          <w:bCs/>
          <w:lang w:eastAsia="en-GB"/>
        </w:rPr>
        <w:t xml:space="preserve">Commercial Negotiations – Talk is Cheap </w:t>
      </w:r>
      <w:proofErr w:type="gramStart"/>
      <w:r w:rsidR="007B40F7">
        <w:rPr>
          <w:rFonts w:ascii="Arial" w:eastAsia="Arial" w:hAnsi="Arial" w:cs="Arial"/>
          <w:bCs/>
          <w:lang w:eastAsia="en-GB"/>
        </w:rPr>
        <w:t>B</w:t>
      </w:r>
      <w:r w:rsidRPr="001D639D">
        <w:rPr>
          <w:rFonts w:ascii="Arial" w:eastAsia="Arial" w:hAnsi="Arial" w:cs="Arial"/>
          <w:bCs/>
          <w:lang w:eastAsia="en-GB"/>
        </w:rPr>
        <w:t>ut</w:t>
      </w:r>
      <w:proofErr w:type="gramEnd"/>
      <w:r w:rsidRPr="001D639D">
        <w:rPr>
          <w:rFonts w:ascii="Arial" w:eastAsia="Arial" w:hAnsi="Arial" w:cs="Arial"/>
          <w:bCs/>
          <w:lang w:eastAsia="en-GB"/>
        </w:rPr>
        <w:t xml:space="preserve"> Writing is Binding</w:t>
      </w:r>
    </w:p>
    <w:p w14:paraId="318C29B6" w14:textId="77777777" w:rsidR="001D639D" w:rsidRPr="00532057" w:rsidRDefault="001D639D" w:rsidP="00811703">
      <w:pPr>
        <w:rPr>
          <w:rFonts w:ascii="Arial" w:eastAsia="Arial" w:hAnsi="Arial" w:cs="Arial"/>
          <w:lang w:eastAsia="en-GB"/>
        </w:rPr>
      </w:pPr>
    </w:p>
    <w:p w14:paraId="7A254A7B" w14:textId="5370061B" w:rsidR="001D639D" w:rsidRDefault="001D639D" w:rsidP="00811703">
      <w:pPr>
        <w:rPr>
          <w:rFonts w:ascii="Arial" w:eastAsia="Arial" w:hAnsi="Arial" w:cs="Arial"/>
          <w:b/>
          <w:lang w:eastAsia="en-GB"/>
        </w:rPr>
      </w:pPr>
      <w:r>
        <w:rPr>
          <w:rFonts w:ascii="Arial" w:eastAsia="Arial" w:hAnsi="Arial" w:cs="Arial"/>
          <w:b/>
          <w:lang w:eastAsia="en-GB"/>
        </w:rPr>
        <w:t>Data Protection</w:t>
      </w:r>
    </w:p>
    <w:p w14:paraId="0BA7288E" w14:textId="4B9BF829" w:rsidR="001D639D" w:rsidRPr="001D639D" w:rsidRDefault="001D639D" w:rsidP="00811703">
      <w:pPr>
        <w:rPr>
          <w:rFonts w:ascii="Arial" w:eastAsia="Arial" w:hAnsi="Arial" w:cs="Arial"/>
          <w:bCs/>
          <w:lang w:eastAsia="en-GB"/>
        </w:rPr>
      </w:pPr>
      <w:r w:rsidRPr="001D639D">
        <w:rPr>
          <w:rFonts w:ascii="Arial" w:eastAsia="Arial" w:hAnsi="Arial" w:cs="Arial"/>
          <w:bCs/>
          <w:lang w:eastAsia="en-GB"/>
        </w:rPr>
        <w:t>Claims Manager Behind Unsolicited Marketing Calls Hit Hard in the Pocket</w:t>
      </w:r>
    </w:p>
    <w:p w14:paraId="463B562D" w14:textId="77777777" w:rsidR="001D639D" w:rsidRPr="001D639D" w:rsidRDefault="001D639D" w:rsidP="00811703">
      <w:pPr>
        <w:rPr>
          <w:rFonts w:ascii="Arial" w:eastAsia="Arial" w:hAnsi="Arial" w:cs="Arial"/>
          <w:bCs/>
          <w:lang w:eastAsia="en-GB"/>
        </w:rPr>
      </w:pPr>
    </w:p>
    <w:p w14:paraId="78EBF0B7" w14:textId="03A75A2E" w:rsidR="003D782E" w:rsidRDefault="003D782E" w:rsidP="00811703">
      <w:pPr>
        <w:rPr>
          <w:rFonts w:ascii="Arial" w:eastAsia="Arial" w:hAnsi="Arial" w:cs="Arial"/>
          <w:b/>
          <w:lang w:eastAsia="en-GB"/>
        </w:rPr>
      </w:pPr>
      <w:bookmarkStart w:id="2" w:name="_Hlk83812966"/>
      <w:r>
        <w:rPr>
          <w:rFonts w:ascii="Arial" w:eastAsia="Arial" w:hAnsi="Arial" w:cs="Arial"/>
          <w:b/>
          <w:lang w:eastAsia="en-GB"/>
        </w:rPr>
        <w:t>In</w:t>
      </w:r>
      <w:r w:rsidR="00530916">
        <w:rPr>
          <w:rFonts w:ascii="Arial" w:eastAsia="Arial" w:hAnsi="Arial" w:cs="Arial"/>
          <w:b/>
          <w:lang w:eastAsia="en-GB"/>
        </w:rPr>
        <w:t>tel</w:t>
      </w:r>
      <w:bookmarkEnd w:id="2"/>
      <w:r w:rsidR="00530916">
        <w:rPr>
          <w:rFonts w:ascii="Arial" w:eastAsia="Arial" w:hAnsi="Arial" w:cs="Arial"/>
          <w:b/>
          <w:lang w:eastAsia="en-GB"/>
        </w:rPr>
        <w:t>lectual Property</w:t>
      </w:r>
    </w:p>
    <w:p w14:paraId="694CCE4C" w14:textId="07F46699" w:rsidR="0085606F" w:rsidRPr="000A670B" w:rsidRDefault="001D639D" w:rsidP="00811703">
      <w:pPr>
        <w:rPr>
          <w:rFonts w:ascii="Arial" w:eastAsia="Arial" w:hAnsi="Arial" w:cs="Arial"/>
          <w:bCs/>
          <w:lang w:eastAsia="en-GB"/>
        </w:rPr>
      </w:pPr>
      <w:r w:rsidRPr="001D639D">
        <w:rPr>
          <w:rFonts w:ascii="Arial" w:eastAsia="Arial" w:hAnsi="Arial" w:cs="Arial"/>
          <w:bCs/>
          <w:lang w:eastAsia="en-GB"/>
        </w:rPr>
        <w:t>AI Machines May Take Over – But Not Yet</w:t>
      </w:r>
      <w:r w:rsidR="008B423D">
        <w:rPr>
          <w:rFonts w:ascii="Arial" w:eastAsia="Arial" w:hAnsi="Arial" w:cs="Arial"/>
          <w:bCs/>
          <w:lang w:eastAsia="en-GB"/>
        </w:rPr>
        <w:t>.</w:t>
      </w:r>
      <w:r w:rsidRPr="001D639D">
        <w:rPr>
          <w:rFonts w:ascii="Arial" w:eastAsia="Arial" w:hAnsi="Arial" w:cs="Arial"/>
          <w:bCs/>
          <w:lang w:eastAsia="en-GB"/>
        </w:rPr>
        <w:t xml:space="preserve"> Landmark Patents Ruling</w:t>
      </w:r>
    </w:p>
    <w:p w14:paraId="693E84B2" w14:textId="77777777" w:rsidR="001D639D" w:rsidRPr="00532057" w:rsidRDefault="001D639D" w:rsidP="00811703">
      <w:pPr>
        <w:rPr>
          <w:rFonts w:ascii="Arial" w:eastAsia="Arial" w:hAnsi="Arial" w:cs="Arial"/>
          <w:lang w:eastAsia="en-GB"/>
        </w:rPr>
      </w:pPr>
      <w:bookmarkStart w:id="3" w:name="_Hlk38964802"/>
      <w:bookmarkStart w:id="4" w:name="_Hlk57196883"/>
      <w:bookmarkStart w:id="5" w:name="_Hlk80631488"/>
    </w:p>
    <w:p w14:paraId="0BF4C1A4" w14:textId="7E59A1C6" w:rsidR="000C544F" w:rsidRDefault="000C544F" w:rsidP="00811703">
      <w:pPr>
        <w:rPr>
          <w:rFonts w:ascii="Arial" w:eastAsia="Arial" w:hAnsi="Arial" w:cs="Arial"/>
          <w:b/>
          <w:lang w:eastAsia="en-GB"/>
        </w:rPr>
      </w:pPr>
      <w:r w:rsidRPr="00C5768B">
        <w:rPr>
          <w:rFonts w:ascii="Arial" w:eastAsia="Arial" w:hAnsi="Arial" w:cs="Arial"/>
          <w:b/>
          <w:lang w:eastAsia="en-GB"/>
        </w:rPr>
        <w:t>E</w:t>
      </w:r>
      <w:bookmarkEnd w:id="3"/>
      <w:r w:rsidRPr="00C5768B">
        <w:rPr>
          <w:rFonts w:ascii="Arial" w:eastAsia="Arial" w:hAnsi="Arial" w:cs="Arial"/>
          <w:b/>
          <w:lang w:eastAsia="en-GB"/>
        </w:rPr>
        <w:t>m</w:t>
      </w:r>
      <w:bookmarkStart w:id="6" w:name="_Hlk46394828"/>
      <w:bookmarkEnd w:id="4"/>
      <w:bookmarkEnd w:id="5"/>
      <w:r w:rsidRPr="00C5768B">
        <w:rPr>
          <w:rFonts w:ascii="Arial" w:eastAsia="Arial" w:hAnsi="Arial" w:cs="Arial"/>
          <w:b/>
          <w:lang w:eastAsia="en-GB"/>
        </w:rPr>
        <w:t>ploy</w:t>
      </w:r>
      <w:bookmarkEnd w:id="6"/>
      <w:r w:rsidRPr="00C5768B">
        <w:rPr>
          <w:rFonts w:ascii="Arial" w:eastAsia="Arial" w:hAnsi="Arial" w:cs="Arial"/>
          <w:b/>
          <w:lang w:eastAsia="en-GB"/>
        </w:rPr>
        <w:t>ment</w:t>
      </w:r>
    </w:p>
    <w:p w14:paraId="4FA024B6" w14:textId="196597FF" w:rsidR="001D639D" w:rsidRPr="001D639D" w:rsidRDefault="001D639D" w:rsidP="00811703">
      <w:pPr>
        <w:rPr>
          <w:rFonts w:ascii="Arial" w:eastAsia="Arial" w:hAnsi="Arial" w:cs="Arial"/>
          <w:bCs/>
          <w:lang w:eastAsia="en-GB"/>
        </w:rPr>
      </w:pPr>
      <w:r w:rsidRPr="001D639D">
        <w:rPr>
          <w:rFonts w:ascii="Arial" w:eastAsia="Arial" w:hAnsi="Arial" w:cs="Arial"/>
          <w:bCs/>
          <w:lang w:eastAsia="en-GB"/>
        </w:rPr>
        <w:t>Commercial Property Specialist in Performance Fee Dispute</w:t>
      </w:r>
    </w:p>
    <w:p w14:paraId="416FFBAF" w14:textId="77777777" w:rsidR="005730F4" w:rsidRPr="00E15BFC" w:rsidRDefault="005730F4" w:rsidP="00811703">
      <w:pPr>
        <w:rPr>
          <w:rFonts w:ascii="Arial" w:eastAsia="Arial" w:hAnsi="Arial" w:cs="Arial"/>
          <w:bCs/>
          <w:lang w:eastAsia="en-GB"/>
        </w:rPr>
      </w:pPr>
    </w:p>
    <w:p w14:paraId="06331B67" w14:textId="1FEDFE18" w:rsidR="001C6F98" w:rsidRDefault="00811703" w:rsidP="00AC5864">
      <w:pPr>
        <w:spacing w:before="100" w:beforeAutospacing="1" w:after="100" w:afterAutospacing="1"/>
        <w:rPr>
          <w:rFonts w:ascii="Arial" w:eastAsia="Times New Roman" w:hAnsi="Arial" w:cs="Arial"/>
          <w:sz w:val="28"/>
          <w:szCs w:val="28"/>
          <w:lang w:eastAsia="en-GB"/>
        </w:rPr>
      </w:pPr>
      <w:r w:rsidRPr="00252D58">
        <w:rPr>
          <w:rFonts w:ascii="Arial" w:eastAsia="Times New Roman" w:hAnsi="Arial" w:cs="Arial"/>
          <w:sz w:val="28"/>
          <w:szCs w:val="28"/>
          <w:lang w:eastAsia="en-GB"/>
        </w:rPr>
        <w:t>Ge</w:t>
      </w:r>
      <w:bookmarkStart w:id="7" w:name="_Hlk70506446"/>
      <w:r w:rsidRPr="00252D58">
        <w:rPr>
          <w:rFonts w:ascii="Arial" w:eastAsia="Times New Roman" w:hAnsi="Arial" w:cs="Arial"/>
          <w:sz w:val="28"/>
          <w:szCs w:val="28"/>
          <w:lang w:eastAsia="en-GB"/>
        </w:rPr>
        <w:t>ner</w:t>
      </w:r>
      <w:bookmarkEnd w:id="7"/>
      <w:r w:rsidRPr="00252D58">
        <w:rPr>
          <w:rFonts w:ascii="Arial" w:eastAsia="Times New Roman" w:hAnsi="Arial" w:cs="Arial"/>
          <w:sz w:val="28"/>
          <w:szCs w:val="28"/>
          <w:lang w:eastAsia="en-GB"/>
        </w:rPr>
        <w:t>al</w:t>
      </w:r>
    </w:p>
    <w:p w14:paraId="38AF8593" w14:textId="51BFB34D" w:rsidR="0075419D" w:rsidRPr="0075419D" w:rsidRDefault="0075419D" w:rsidP="0075419D">
      <w:pPr>
        <w:spacing w:before="100" w:beforeAutospacing="1" w:after="100" w:afterAutospacing="1"/>
        <w:rPr>
          <w:rFonts w:ascii="Arial" w:eastAsia="Calibri" w:hAnsi="Arial" w:cs="Arial"/>
          <w:b/>
          <w:bCs/>
          <w:sz w:val="24"/>
          <w:szCs w:val="24"/>
        </w:rPr>
      </w:pPr>
      <w:r w:rsidRPr="0075419D">
        <w:rPr>
          <w:rFonts w:ascii="Arial" w:eastAsia="Calibri" w:hAnsi="Arial" w:cs="Arial"/>
          <w:b/>
          <w:bCs/>
          <w:sz w:val="24"/>
          <w:szCs w:val="24"/>
        </w:rPr>
        <w:t>Dental Practice Owner Vicariously Liable for Sub</w:t>
      </w:r>
      <w:r w:rsidR="00532057">
        <w:rPr>
          <w:rFonts w:ascii="Arial" w:eastAsia="Calibri" w:hAnsi="Arial" w:cs="Arial"/>
          <w:b/>
          <w:bCs/>
          <w:sz w:val="24"/>
          <w:szCs w:val="24"/>
        </w:rPr>
        <w:t>c</w:t>
      </w:r>
      <w:r w:rsidRPr="0075419D">
        <w:rPr>
          <w:rFonts w:ascii="Arial" w:eastAsia="Calibri" w:hAnsi="Arial" w:cs="Arial"/>
          <w:b/>
          <w:bCs/>
          <w:sz w:val="24"/>
          <w:szCs w:val="24"/>
        </w:rPr>
        <w:t>ontractors</w:t>
      </w:r>
      <w:r w:rsidR="007B40F7">
        <w:rPr>
          <w:rFonts w:ascii="Arial" w:eastAsia="Calibri" w:hAnsi="Arial" w:cs="Arial"/>
          <w:b/>
          <w:bCs/>
          <w:sz w:val="24"/>
          <w:szCs w:val="24"/>
        </w:rPr>
        <w:t>'</w:t>
      </w:r>
      <w:r w:rsidRPr="0075419D">
        <w:rPr>
          <w:rFonts w:ascii="Arial" w:eastAsia="Calibri" w:hAnsi="Arial" w:cs="Arial"/>
          <w:b/>
          <w:bCs/>
          <w:sz w:val="24"/>
          <w:szCs w:val="24"/>
        </w:rPr>
        <w:t xml:space="preserve"> Acts</w:t>
      </w:r>
    </w:p>
    <w:p w14:paraId="40A43743" w14:textId="424E7D3F" w:rsidR="0075419D" w:rsidRPr="0075419D" w:rsidRDefault="0075419D" w:rsidP="0075419D">
      <w:pPr>
        <w:spacing w:before="100" w:beforeAutospacing="1" w:after="100" w:afterAutospacing="1"/>
        <w:rPr>
          <w:rFonts w:ascii="Arial" w:eastAsia="Calibri" w:hAnsi="Arial" w:cs="Arial"/>
          <w:sz w:val="24"/>
          <w:szCs w:val="24"/>
        </w:rPr>
      </w:pPr>
      <w:r w:rsidRPr="0075419D">
        <w:rPr>
          <w:rFonts w:ascii="Arial" w:eastAsia="Calibri" w:hAnsi="Arial" w:cs="Arial"/>
          <w:sz w:val="24"/>
          <w:szCs w:val="24"/>
        </w:rPr>
        <w:t xml:space="preserve">Can business owners be legally liable for the negligence of subcontractors? In the case of a dental practice proprietor who engaged self-employed dentists, the High Court answered that question with a decisive </w:t>
      </w:r>
      <w:r w:rsidR="007B40F7">
        <w:rPr>
          <w:rFonts w:ascii="Arial" w:eastAsia="Calibri" w:hAnsi="Arial" w:cs="Arial"/>
          <w:sz w:val="24"/>
          <w:szCs w:val="24"/>
        </w:rPr>
        <w:t>'y</w:t>
      </w:r>
      <w:r w:rsidRPr="0075419D">
        <w:rPr>
          <w:rFonts w:ascii="Arial" w:eastAsia="Calibri" w:hAnsi="Arial" w:cs="Arial"/>
          <w:sz w:val="24"/>
          <w:szCs w:val="24"/>
        </w:rPr>
        <w:t>es</w:t>
      </w:r>
      <w:r w:rsidR="007B40F7">
        <w:rPr>
          <w:rFonts w:ascii="Arial" w:eastAsia="Calibri" w:hAnsi="Arial" w:cs="Arial"/>
          <w:sz w:val="24"/>
          <w:szCs w:val="24"/>
        </w:rPr>
        <w:t>'</w:t>
      </w:r>
      <w:r w:rsidRPr="0075419D">
        <w:rPr>
          <w:rFonts w:ascii="Arial" w:eastAsia="Calibri" w:hAnsi="Arial" w:cs="Arial"/>
          <w:sz w:val="24"/>
          <w:szCs w:val="24"/>
        </w:rPr>
        <w:t>.</w:t>
      </w:r>
    </w:p>
    <w:p w14:paraId="76E8DD87" w14:textId="031BBB4B" w:rsidR="0075419D" w:rsidRPr="0075419D" w:rsidRDefault="0075419D" w:rsidP="0075419D">
      <w:pPr>
        <w:spacing w:before="100" w:beforeAutospacing="1" w:after="100" w:afterAutospacing="1"/>
        <w:rPr>
          <w:rFonts w:ascii="Arial" w:eastAsia="Calibri" w:hAnsi="Arial" w:cs="Arial"/>
          <w:sz w:val="24"/>
          <w:szCs w:val="24"/>
        </w:rPr>
      </w:pPr>
      <w:r w:rsidRPr="0075419D">
        <w:rPr>
          <w:rFonts w:ascii="Arial" w:eastAsia="Calibri" w:hAnsi="Arial" w:cs="Arial"/>
          <w:sz w:val="24"/>
          <w:szCs w:val="24"/>
        </w:rPr>
        <w:t>The case concerned a woman who underwent dental treatment at the practice over a number of years. She claimed that she was negligently treated by four dentists, three of whom were self-employed subcontractors. She claimed compensation from the practice owner although he had not at any point treated her himself. The issue of whether he could be held personally liable for the alleged failings of the subcontractors was considered as a preliminary issue.</w:t>
      </w:r>
    </w:p>
    <w:p w14:paraId="5E877C3A" w14:textId="59ECE38B" w:rsidR="0075419D" w:rsidRPr="0075419D" w:rsidRDefault="0075419D" w:rsidP="0075419D">
      <w:pPr>
        <w:spacing w:before="100" w:beforeAutospacing="1" w:after="100" w:afterAutospacing="1"/>
        <w:rPr>
          <w:rFonts w:ascii="Arial" w:eastAsia="Calibri" w:hAnsi="Arial" w:cs="Arial"/>
          <w:sz w:val="24"/>
          <w:szCs w:val="24"/>
        </w:rPr>
      </w:pPr>
      <w:r w:rsidRPr="0075419D">
        <w:rPr>
          <w:rFonts w:ascii="Arial" w:eastAsia="Calibri" w:hAnsi="Arial" w:cs="Arial"/>
          <w:sz w:val="24"/>
          <w:szCs w:val="24"/>
        </w:rPr>
        <w:lastRenderedPageBreak/>
        <w:t>Ruling on the matter, the Court found that the practice owner owed the woman a duty of care that could not be delegated to others. His relationship with the subcontractors was also sufficiently akin to employment to render him indirectly – or vicariously – liable for any negligence on their part.</w:t>
      </w:r>
    </w:p>
    <w:p w14:paraId="0EB5A466" w14:textId="6FE22748" w:rsidR="0075419D" w:rsidRPr="0075419D" w:rsidRDefault="0075419D" w:rsidP="0075419D">
      <w:pPr>
        <w:spacing w:before="100" w:beforeAutospacing="1" w:after="100" w:afterAutospacing="1"/>
        <w:rPr>
          <w:rFonts w:ascii="Arial" w:eastAsia="Calibri" w:hAnsi="Arial" w:cs="Arial"/>
          <w:sz w:val="24"/>
          <w:szCs w:val="24"/>
        </w:rPr>
      </w:pPr>
      <w:r w:rsidRPr="0075419D">
        <w:rPr>
          <w:rFonts w:ascii="Arial" w:eastAsia="Calibri" w:hAnsi="Arial" w:cs="Arial"/>
          <w:sz w:val="24"/>
          <w:szCs w:val="24"/>
        </w:rPr>
        <w:t>Although he had chosen to deliver his services via subcontractors, he bore ultimate responsibility for patient care under the terms of his NHS contract. The woman was a patient of the practice, not just of each dentist who treated her. She had placed herself in the care of the practice in circumstances where she was vulnerable to injury and the practice owner was under a duty to protect her from harm.</w:t>
      </w:r>
    </w:p>
    <w:p w14:paraId="6970A309" w14:textId="63B794ED" w:rsidR="0075419D" w:rsidRPr="0075419D" w:rsidRDefault="0075419D" w:rsidP="0075419D">
      <w:pPr>
        <w:spacing w:before="100" w:beforeAutospacing="1" w:after="100" w:afterAutospacing="1"/>
        <w:rPr>
          <w:rFonts w:ascii="Arial" w:eastAsia="Calibri" w:hAnsi="Arial" w:cs="Arial"/>
          <w:sz w:val="24"/>
          <w:szCs w:val="24"/>
        </w:rPr>
      </w:pPr>
      <w:r w:rsidRPr="0075419D">
        <w:rPr>
          <w:rFonts w:ascii="Arial" w:eastAsia="Calibri" w:hAnsi="Arial" w:cs="Arial"/>
          <w:sz w:val="24"/>
          <w:szCs w:val="24"/>
        </w:rPr>
        <w:t>The practice held her dental records, arranged her appointments and received payment for her treatment. It provided the premises, equipment and support staff required by the subcontractors. Any goodwill associated with her treatment was retained by the practice and the subcontractors were subject to post-termination restrictions designed to protect the practice</w:t>
      </w:r>
      <w:r w:rsidR="007B40F7">
        <w:rPr>
          <w:rFonts w:ascii="Arial" w:eastAsia="Calibri" w:hAnsi="Arial" w:cs="Arial"/>
          <w:sz w:val="24"/>
          <w:szCs w:val="24"/>
        </w:rPr>
        <w:t>'</w:t>
      </w:r>
      <w:r w:rsidRPr="0075419D">
        <w:rPr>
          <w:rFonts w:ascii="Arial" w:eastAsia="Calibri" w:hAnsi="Arial" w:cs="Arial"/>
          <w:sz w:val="24"/>
          <w:szCs w:val="24"/>
        </w:rPr>
        <w:t>s client base.</w:t>
      </w:r>
    </w:p>
    <w:p w14:paraId="212B8323" w14:textId="14D927DC" w:rsidR="0075419D" w:rsidRPr="0075419D" w:rsidRDefault="0075419D" w:rsidP="0075419D">
      <w:pPr>
        <w:spacing w:before="100" w:beforeAutospacing="1" w:after="100" w:afterAutospacing="1"/>
        <w:rPr>
          <w:rFonts w:ascii="Arial" w:eastAsia="Calibri" w:hAnsi="Arial" w:cs="Arial"/>
          <w:sz w:val="24"/>
          <w:szCs w:val="24"/>
        </w:rPr>
      </w:pPr>
      <w:r w:rsidRPr="0075419D">
        <w:rPr>
          <w:rFonts w:ascii="Arial" w:eastAsia="Calibri" w:hAnsi="Arial" w:cs="Arial"/>
          <w:sz w:val="24"/>
          <w:szCs w:val="24"/>
        </w:rPr>
        <w:t>The subcontractors were free to make their own clinical decisions and to provide treatment as they saw fit. They also largely determined their own working hours. However, they worked as an integral part of the practice and its owner had sufficient control over them to render their relationship akin to employment. The imposition of vicarious responsibility on the practice owner was fair, just and reasonable. The Court</w:t>
      </w:r>
      <w:r w:rsidR="007B40F7">
        <w:rPr>
          <w:rFonts w:ascii="Arial" w:eastAsia="Calibri" w:hAnsi="Arial" w:cs="Arial"/>
          <w:sz w:val="24"/>
          <w:szCs w:val="24"/>
        </w:rPr>
        <w:t>'</w:t>
      </w:r>
      <w:r w:rsidRPr="0075419D">
        <w:rPr>
          <w:rFonts w:ascii="Arial" w:eastAsia="Calibri" w:hAnsi="Arial" w:cs="Arial"/>
          <w:sz w:val="24"/>
          <w:szCs w:val="24"/>
        </w:rPr>
        <w:t>s ruling opened the way for the woman to proceed with her claim.</w:t>
      </w:r>
    </w:p>
    <w:p w14:paraId="1D529AA7" w14:textId="77777777" w:rsidR="0075419D" w:rsidRPr="0075419D" w:rsidRDefault="0075419D" w:rsidP="0075419D">
      <w:pPr>
        <w:rPr>
          <w:rFonts w:ascii="Arial" w:eastAsia="Calibri" w:hAnsi="Arial" w:cs="Arial"/>
          <w:b/>
          <w:bCs/>
          <w:sz w:val="24"/>
          <w:szCs w:val="24"/>
        </w:rPr>
      </w:pPr>
      <w:r w:rsidRPr="0075419D">
        <w:rPr>
          <w:rFonts w:ascii="Arial" w:eastAsia="Calibri" w:hAnsi="Arial" w:cs="Arial"/>
          <w:b/>
          <w:bCs/>
          <w:sz w:val="24"/>
          <w:szCs w:val="24"/>
        </w:rPr>
        <w:t>Partner Note</w:t>
      </w:r>
    </w:p>
    <w:p w14:paraId="0503B058" w14:textId="77777777" w:rsidR="0075419D" w:rsidRPr="0075419D" w:rsidRDefault="0075419D" w:rsidP="0075419D">
      <w:pPr>
        <w:rPr>
          <w:rFonts w:ascii="Arial" w:eastAsia="Calibri" w:hAnsi="Arial" w:cs="Arial"/>
          <w:sz w:val="24"/>
          <w:szCs w:val="24"/>
        </w:rPr>
      </w:pPr>
      <w:r w:rsidRPr="0075419D">
        <w:rPr>
          <w:rFonts w:ascii="Arial" w:eastAsia="Calibri" w:hAnsi="Arial" w:cs="Arial"/>
          <w:sz w:val="24"/>
          <w:szCs w:val="24"/>
        </w:rPr>
        <w:t>Hughes v Rattan [2021] EWHC 2032 (QB)</w:t>
      </w:r>
    </w:p>
    <w:p w14:paraId="6F63688D" w14:textId="4157512E" w:rsidR="00624F99" w:rsidRDefault="00624F99" w:rsidP="005D57FA">
      <w:pPr>
        <w:spacing w:before="100" w:beforeAutospacing="1" w:after="100" w:afterAutospacing="1"/>
        <w:rPr>
          <w:rFonts w:ascii="Arial" w:eastAsia="Times New Roman" w:hAnsi="Arial" w:cs="Arial"/>
          <w:iCs/>
          <w:sz w:val="28"/>
          <w:szCs w:val="28"/>
          <w:lang w:eastAsia="en-GB"/>
        </w:rPr>
      </w:pPr>
      <w:r w:rsidRPr="00624F99">
        <w:rPr>
          <w:rFonts w:ascii="Arial" w:eastAsia="Times New Roman" w:hAnsi="Arial" w:cs="Arial"/>
          <w:iCs/>
          <w:sz w:val="28"/>
          <w:szCs w:val="28"/>
          <w:lang w:eastAsia="en-GB"/>
        </w:rPr>
        <w:t>Property</w:t>
      </w:r>
    </w:p>
    <w:p w14:paraId="1509D9EE" w14:textId="77777777" w:rsidR="001D639D" w:rsidRPr="001D639D" w:rsidRDefault="001D639D" w:rsidP="001D639D">
      <w:pPr>
        <w:spacing w:before="100" w:beforeAutospacing="1" w:after="100" w:afterAutospacing="1"/>
        <w:rPr>
          <w:rFonts w:ascii="Arial" w:eastAsia="Calibri" w:hAnsi="Arial" w:cs="Arial"/>
          <w:b/>
          <w:bCs/>
          <w:sz w:val="24"/>
          <w:szCs w:val="24"/>
        </w:rPr>
      </w:pPr>
      <w:r w:rsidRPr="001D639D">
        <w:rPr>
          <w:rFonts w:ascii="Arial" w:eastAsia="Calibri" w:hAnsi="Arial" w:cs="Arial"/>
          <w:b/>
          <w:bCs/>
          <w:sz w:val="24"/>
          <w:szCs w:val="24"/>
        </w:rPr>
        <w:t>Conversion of Listed Buildings and VAT Zero-Rating – Guideline Ruling</w:t>
      </w:r>
    </w:p>
    <w:p w14:paraId="35FA3C61" w14:textId="7608FD59" w:rsidR="001D639D" w:rsidRPr="001D639D" w:rsidRDefault="001D639D" w:rsidP="001D639D">
      <w:pPr>
        <w:spacing w:before="100" w:beforeAutospacing="1" w:after="100" w:afterAutospacing="1"/>
        <w:rPr>
          <w:rFonts w:ascii="Arial" w:eastAsia="Calibri" w:hAnsi="Arial" w:cs="Arial"/>
          <w:sz w:val="24"/>
          <w:szCs w:val="24"/>
        </w:rPr>
      </w:pPr>
      <w:r w:rsidRPr="001D639D">
        <w:rPr>
          <w:rFonts w:ascii="Arial" w:eastAsia="Calibri" w:hAnsi="Arial" w:cs="Arial"/>
          <w:sz w:val="24"/>
          <w:szCs w:val="24"/>
        </w:rPr>
        <w:t xml:space="preserve">Building works that involve the </w:t>
      </w:r>
      <w:r w:rsidR="007B40F7">
        <w:rPr>
          <w:rFonts w:ascii="Arial" w:eastAsia="Calibri" w:hAnsi="Arial" w:cs="Arial"/>
          <w:sz w:val="24"/>
          <w:szCs w:val="24"/>
        </w:rPr>
        <w:t>'</w:t>
      </w:r>
      <w:r w:rsidRPr="001D639D">
        <w:rPr>
          <w:rFonts w:ascii="Arial" w:eastAsia="Calibri" w:hAnsi="Arial" w:cs="Arial"/>
          <w:sz w:val="24"/>
          <w:szCs w:val="24"/>
        </w:rPr>
        <w:t>substantial reconstruction</w:t>
      </w:r>
      <w:r w:rsidR="007B40F7">
        <w:rPr>
          <w:rFonts w:ascii="Arial" w:eastAsia="Calibri" w:hAnsi="Arial" w:cs="Arial"/>
          <w:sz w:val="24"/>
          <w:szCs w:val="24"/>
        </w:rPr>
        <w:t>'</w:t>
      </w:r>
      <w:r w:rsidRPr="001D639D">
        <w:rPr>
          <w:rFonts w:ascii="Arial" w:eastAsia="Calibri" w:hAnsi="Arial" w:cs="Arial"/>
          <w:sz w:val="24"/>
          <w:szCs w:val="24"/>
        </w:rPr>
        <w:t xml:space="preserve"> of listed buildings have the great benefit of being zero-rated for VAT. As a case concerning the conversion of a grand former military nursing home showed, however, that advantage is only available in highly restricted circumstances.</w:t>
      </w:r>
    </w:p>
    <w:p w14:paraId="5BEB2290" w14:textId="43E309C9" w:rsidR="001D639D" w:rsidRPr="001D639D" w:rsidRDefault="001D639D" w:rsidP="001D639D">
      <w:pPr>
        <w:spacing w:before="100" w:beforeAutospacing="1" w:after="100" w:afterAutospacing="1"/>
        <w:rPr>
          <w:rFonts w:ascii="Arial" w:eastAsia="Calibri" w:hAnsi="Arial" w:cs="Arial"/>
          <w:sz w:val="24"/>
          <w:szCs w:val="24"/>
        </w:rPr>
      </w:pPr>
      <w:r w:rsidRPr="001D639D">
        <w:rPr>
          <w:rFonts w:ascii="Arial" w:eastAsia="Calibri" w:hAnsi="Arial" w:cs="Arial"/>
          <w:sz w:val="24"/>
          <w:szCs w:val="24"/>
        </w:rPr>
        <w:t xml:space="preserve">The case concerned a vast, </w:t>
      </w:r>
      <w:r w:rsidR="00532057">
        <w:rPr>
          <w:rFonts w:ascii="Arial" w:eastAsia="Calibri" w:hAnsi="Arial" w:cs="Arial"/>
          <w:sz w:val="24"/>
          <w:szCs w:val="24"/>
        </w:rPr>
        <w:t>G</w:t>
      </w:r>
      <w:r w:rsidR="00532057" w:rsidRPr="001D639D">
        <w:rPr>
          <w:rFonts w:ascii="Arial" w:eastAsia="Calibri" w:hAnsi="Arial" w:cs="Arial"/>
          <w:sz w:val="24"/>
          <w:szCs w:val="24"/>
        </w:rPr>
        <w:t xml:space="preserve">rade </w:t>
      </w:r>
      <w:r w:rsidR="00532057">
        <w:rPr>
          <w:rFonts w:ascii="Arial" w:eastAsia="Calibri" w:hAnsi="Arial" w:cs="Arial"/>
          <w:sz w:val="24"/>
          <w:szCs w:val="24"/>
        </w:rPr>
        <w:t>II</w:t>
      </w:r>
      <w:r w:rsidR="00532057" w:rsidRPr="001D639D">
        <w:rPr>
          <w:rFonts w:ascii="Arial" w:eastAsia="Calibri" w:hAnsi="Arial" w:cs="Arial"/>
          <w:sz w:val="24"/>
          <w:szCs w:val="24"/>
        </w:rPr>
        <w:t xml:space="preserve"> </w:t>
      </w:r>
      <w:r w:rsidRPr="001D639D">
        <w:rPr>
          <w:rFonts w:ascii="Arial" w:eastAsia="Calibri" w:hAnsi="Arial" w:cs="Arial"/>
          <w:sz w:val="24"/>
          <w:szCs w:val="24"/>
        </w:rPr>
        <w:t>listed building that was for almost a century used to provide nursing facilities for war veterans. During a building project that lasted more than two years, it was converted into 86 luxury flats. The developer argued that the sale of the flats was zero-rated for VAT purposes and that it was thus entitled to recover all the input tax paid on the conversion works. That contention was, however, rejected by HM Revenue and Customs.</w:t>
      </w:r>
    </w:p>
    <w:p w14:paraId="6699D988" w14:textId="77FB45CC" w:rsidR="001D639D" w:rsidRPr="001D639D" w:rsidRDefault="001D639D" w:rsidP="001D639D">
      <w:pPr>
        <w:spacing w:before="100" w:beforeAutospacing="1" w:after="100" w:afterAutospacing="1"/>
        <w:rPr>
          <w:rFonts w:ascii="Arial" w:eastAsia="Calibri" w:hAnsi="Arial" w:cs="Arial"/>
          <w:sz w:val="24"/>
          <w:szCs w:val="24"/>
        </w:rPr>
      </w:pPr>
      <w:r w:rsidRPr="001D639D">
        <w:rPr>
          <w:rFonts w:ascii="Arial" w:eastAsia="Calibri" w:hAnsi="Arial" w:cs="Arial"/>
          <w:sz w:val="24"/>
          <w:szCs w:val="24"/>
        </w:rPr>
        <w:t>Ruling on the matter, the First-tier Tribunal (FTT) noted that the V</w:t>
      </w:r>
      <w:r w:rsidR="00532057">
        <w:rPr>
          <w:rFonts w:ascii="Arial" w:eastAsia="Calibri" w:hAnsi="Arial" w:cs="Arial"/>
          <w:sz w:val="24"/>
          <w:szCs w:val="24"/>
        </w:rPr>
        <w:t xml:space="preserve">alue </w:t>
      </w:r>
      <w:r w:rsidRPr="001D639D">
        <w:rPr>
          <w:rFonts w:ascii="Arial" w:eastAsia="Calibri" w:hAnsi="Arial" w:cs="Arial"/>
          <w:sz w:val="24"/>
          <w:szCs w:val="24"/>
        </w:rPr>
        <w:t>A</w:t>
      </w:r>
      <w:r w:rsidR="00532057">
        <w:rPr>
          <w:rFonts w:ascii="Arial" w:eastAsia="Calibri" w:hAnsi="Arial" w:cs="Arial"/>
          <w:sz w:val="24"/>
          <w:szCs w:val="24"/>
        </w:rPr>
        <w:t xml:space="preserve">dded </w:t>
      </w:r>
      <w:r w:rsidRPr="001D639D">
        <w:rPr>
          <w:rFonts w:ascii="Arial" w:eastAsia="Calibri" w:hAnsi="Arial" w:cs="Arial"/>
          <w:sz w:val="24"/>
          <w:szCs w:val="24"/>
        </w:rPr>
        <w:t>T</w:t>
      </w:r>
      <w:r w:rsidR="00532057">
        <w:rPr>
          <w:rFonts w:ascii="Arial" w:eastAsia="Calibri" w:hAnsi="Arial" w:cs="Arial"/>
          <w:sz w:val="24"/>
          <w:szCs w:val="24"/>
        </w:rPr>
        <w:t>ax</w:t>
      </w:r>
      <w:r w:rsidRPr="001D639D">
        <w:rPr>
          <w:rFonts w:ascii="Arial" w:eastAsia="Calibri" w:hAnsi="Arial" w:cs="Arial"/>
          <w:sz w:val="24"/>
          <w:szCs w:val="24"/>
        </w:rPr>
        <w:t xml:space="preserve"> Act 1994 </w:t>
      </w:r>
      <w:r w:rsidR="00532057" w:rsidRPr="001D639D">
        <w:rPr>
          <w:rFonts w:ascii="Arial" w:eastAsia="Calibri" w:hAnsi="Arial" w:cs="Arial"/>
          <w:sz w:val="24"/>
          <w:szCs w:val="24"/>
        </w:rPr>
        <w:t>zero</w:t>
      </w:r>
      <w:r w:rsidR="00532057">
        <w:rPr>
          <w:rFonts w:ascii="Arial" w:eastAsia="Calibri" w:hAnsi="Arial" w:cs="Arial"/>
          <w:sz w:val="24"/>
          <w:szCs w:val="24"/>
        </w:rPr>
        <w:t>-</w:t>
      </w:r>
      <w:r w:rsidRPr="001D639D">
        <w:rPr>
          <w:rFonts w:ascii="Arial" w:eastAsia="Calibri" w:hAnsi="Arial" w:cs="Arial"/>
          <w:sz w:val="24"/>
          <w:szCs w:val="24"/>
        </w:rPr>
        <w:t>rates the supply of dwellings which are the result of a substantial reconstruction of a listed building. However, the Act also states that a building is not to be regarded as having been substantially reconstructed unless it incorporates no more than the external walls of the original, together with other external features of architectural or historic merit.</w:t>
      </w:r>
    </w:p>
    <w:p w14:paraId="373B33D6" w14:textId="2501A327" w:rsidR="001D639D" w:rsidRPr="001D639D" w:rsidRDefault="001D639D" w:rsidP="001D639D">
      <w:pPr>
        <w:spacing w:before="100" w:beforeAutospacing="1" w:after="100" w:afterAutospacing="1"/>
        <w:rPr>
          <w:rFonts w:ascii="Arial" w:eastAsia="Calibri" w:hAnsi="Arial" w:cs="Arial"/>
          <w:sz w:val="24"/>
          <w:szCs w:val="24"/>
        </w:rPr>
      </w:pPr>
      <w:r w:rsidRPr="001D639D">
        <w:rPr>
          <w:rFonts w:ascii="Arial" w:eastAsia="Calibri" w:hAnsi="Arial" w:cs="Arial"/>
          <w:sz w:val="24"/>
          <w:szCs w:val="24"/>
        </w:rPr>
        <w:lastRenderedPageBreak/>
        <w:t>Dismissing the developer</w:t>
      </w:r>
      <w:r w:rsidR="007B40F7">
        <w:rPr>
          <w:rFonts w:ascii="Arial" w:eastAsia="Calibri" w:hAnsi="Arial" w:cs="Arial"/>
          <w:sz w:val="24"/>
          <w:szCs w:val="24"/>
        </w:rPr>
        <w:t>'</w:t>
      </w:r>
      <w:r w:rsidRPr="001D639D">
        <w:rPr>
          <w:rFonts w:ascii="Arial" w:eastAsia="Calibri" w:hAnsi="Arial" w:cs="Arial"/>
          <w:sz w:val="24"/>
          <w:szCs w:val="24"/>
        </w:rPr>
        <w:t xml:space="preserve">s appeal, the FTT noted that certain internal features of the building had been retained in compliance with planning requirements. They included a chapel, a splendid marble entrance hall and staircase, chimney stacks, </w:t>
      </w:r>
      <w:proofErr w:type="gramStart"/>
      <w:r w:rsidRPr="001D639D">
        <w:rPr>
          <w:rFonts w:ascii="Arial" w:eastAsia="Calibri" w:hAnsi="Arial" w:cs="Arial"/>
          <w:sz w:val="24"/>
          <w:szCs w:val="24"/>
        </w:rPr>
        <w:t>trusses</w:t>
      </w:r>
      <w:proofErr w:type="gramEnd"/>
      <w:r w:rsidRPr="001D639D">
        <w:rPr>
          <w:rFonts w:ascii="Arial" w:eastAsia="Calibri" w:hAnsi="Arial" w:cs="Arial"/>
          <w:sz w:val="24"/>
          <w:szCs w:val="24"/>
        </w:rPr>
        <w:t xml:space="preserve"> and most of the building</w:t>
      </w:r>
      <w:r w:rsidR="007B40F7">
        <w:rPr>
          <w:rFonts w:ascii="Arial" w:eastAsia="Calibri" w:hAnsi="Arial" w:cs="Arial"/>
          <w:sz w:val="24"/>
          <w:szCs w:val="24"/>
        </w:rPr>
        <w:t>'</w:t>
      </w:r>
      <w:r w:rsidRPr="001D639D">
        <w:rPr>
          <w:rFonts w:ascii="Arial" w:eastAsia="Calibri" w:hAnsi="Arial" w:cs="Arial"/>
          <w:sz w:val="24"/>
          <w:szCs w:val="24"/>
        </w:rPr>
        <w:t>s reinforced concrete floor slabs.</w:t>
      </w:r>
    </w:p>
    <w:p w14:paraId="75407520" w14:textId="230F6305" w:rsidR="001D639D" w:rsidRDefault="001D639D" w:rsidP="001D639D">
      <w:pPr>
        <w:spacing w:before="100" w:beforeAutospacing="1" w:after="100" w:afterAutospacing="1"/>
        <w:rPr>
          <w:rFonts w:ascii="Arial" w:eastAsia="Calibri" w:hAnsi="Arial" w:cs="Arial"/>
          <w:sz w:val="24"/>
          <w:szCs w:val="24"/>
        </w:rPr>
      </w:pPr>
      <w:r w:rsidRPr="001D639D">
        <w:rPr>
          <w:rFonts w:ascii="Arial" w:eastAsia="Calibri" w:hAnsi="Arial" w:cs="Arial"/>
          <w:sz w:val="24"/>
          <w:szCs w:val="24"/>
        </w:rPr>
        <w:t xml:space="preserve">Despite the enormous scale of the conversion works, the retained internal features covered some </w:t>
      </w:r>
      <w:r w:rsidR="009A5F65">
        <w:rPr>
          <w:rFonts w:ascii="Arial" w:eastAsia="Calibri" w:hAnsi="Arial" w:cs="Arial"/>
          <w:sz w:val="24"/>
          <w:szCs w:val="24"/>
        </w:rPr>
        <w:t>7</w:t>
      </w:r>
      <w:r w:rsidR="009A5F65" w:rsidRPr="001D639D">
        <w:rPr>
          <w:rFonts w:ascii="Arial" w:eastAsia="Calibri" w:hAnsi="Arial" w:cs="Arial"/>
          <w:sz w:val="24"/>
          <w:szCs w:val="24"/>
        </w:rPr>
        <w:t xml:space="preserve"> </w:t>
      </w:r>
      <w:r w:rsidRPr="001D639D">
        <w:rPr>
          <w:rFonts w:ascii="Arial" w:eastAsia="Calibri" w:hAnsi="Arial" w:cs="Arial"/>
          <w:sz w:val="24"/>
          <w:szCs w:val="24"/>
        </w:rPr>
        <w:t>per cent of the building</w:t>
      </w:r>
      <w:r w:rsidR="007B40F7">
        <w:rPr>
          <w:rFonts w:ascii="Arial" w:eastAsia="Calibri" w:hAnsi="Arial" w:cs="Arial"/>
          <w:sz w:val="24"/>
          <w:szCs w:val="24"/>
        </w:rPr>
        <w:t>'</w:t>
      </w:r>
      <w:r w:rsidRPr="001D639D">
        <w:rPr>
          <w:rFonts w:ascii="Arial" w:eastAsia="Calibri" w:hAnsi="Arial" w:cs="Arial"/>
          <w:sz w:val="24"/>
          <w:szCs w:val="24"/>
        </w:rPr>
        <w:t xml:space="preserve">s floorspace and could not be viewed as de minimis or trifling. The floor slabs, </w:t>
      </w:r>
      <w:proofErr w:type="gramStart"/>
      <w:r w:rsidRPr="001D639D">
        <w:rPr>
          <w:rFonts w:ascii="Arial" w:eastAsia="Calibri" w:hAnsi="Arial" w:cs="Arial"/>
          <w:sz w:val="24"/>
          <w:szCs w:val="24"/>
        </w:rPr>
        <w:t>trusses</w:t>
      </w:r>
      <w:proofErr w:type="gramEnd"/>
      <w:r w:rsidRPr="001D639D">
        <w:rPr>
          <w:rFonts w:ascii="Arial" w:eastAsia="Calibri" w:hAnsi="Arial" w:cs="Arial"/>
          <w:sz w:val="24"/>
          <w:szCs w:val="24"/>
        </w:rPr>
        <w:t xml:space="preserve"> and chimney stacks, whilst performing a structural role, were not part of the external walls or other external features. Other grounds of challenge, based on European law principles of fiscal neutrality and proportionality, also fell on fallow ground.</w:t>
      </w:r>
    </w:p>
    <w:p w14:paraId="21EE88C6" w14:textId="7C2F4708" w:rsidR="001D639D" w:rsidRPr="001D639D" w:rsidRDefault="001D639D" w:rsidP="001D639D">
      <w:pPr>
        <w:spacing w:before="100" w:beforeAutospacing="1" w:after="100" w:afterAutospacing="1"/>
        <w:rPr>
          <w:rFonts w:ascii="Arial" w:eastAsia="Calibri" w:hAnsi="Arial" w:cs="Arial"/>
          <w:sz w:val="24"/>
          <w:szCs w:val="24"/>
        </w:rPr>
      </w:pPr>
      <w:r w:rsidRPr="001D639D">
        <w:rPr>
          <w:rFonts w:ascii="Arial" w:eastAsia="Calibri" w:hAnsi="Arial" w:cs="Arial"/>
          <w:sz w:val="24"/>
          <w:szCs w:val="24"/>
        </w:rPr>
        <w:t>Our specialist lawyers can advise you on all matters involving commercial property. Contact us for guidance.</w:t>
      </w:r>
    </w:p>
    <w:p w14:paraId="44DA4B67" w14:textId="77777777" w:rsidR="001D639D" w:rsidRPr="001D639D" w:rsidRDefault="001D639D" w:rsidP="001D639D">
      <w:pPr>
        <w:rPr>
          <w:rFonts w:ascii="Arial" w:eastAsia="Calibri" w:hAnsi="Arial" w:cs="Arial"/>
          <w:b/>
          <w:bCs/>
          <w:sz w:val="24"/>
          <w:szCs w:val="24"/>
        </w:rPr>
      </w:pPr>
      <w:r w:rsidRPr="001D639D">
        <w:rPr>
          <w:rFonts w:ascii="Arial" w:eastAsia="Calibri" w:hAnsi="Arial" w:cs="Arial"/>
          <w:b/>
          <w:bCs/>
          <w:sz w:val="24"/>
          <w:szCs w:val="24"/>
        </w:rPr>
        <w:t>Partner Note</w:t>
      </w:r>
    </w:p>
    <w:p w14:paraId="058B9526" w14:textId="5860BDE4" w:rsidR="001D639D" w:rsidRPr="001D639D" w:rsidRDefault="001D639D" w:rsidP="001D639D">
      <w:pPr>
        <w:rPr>
          <w:rFonts w:ascii="Arial" w:eastAsia="Calibri" w:hAnsi="Arial" w:cs="Arial"/>
          <w:sz w:val="24"/>
          <w:szCs w:val="24"/>
        </w:rPr>
      </w:pPr>
      <w:r w:rsidRPr="001D639D">
        <w:rPr>
          <w:rFonts w:ascii="Arial" w:eastAsia="Calibri" w:hAnsi="Arial" w:cs="Arial"/>
          <w:sz w:val="24"/>
          <w:szCs w:val="24"/>
        </w:rPr>
        <w:t>Richmond Hill Developments (Jersey) Ltd v The Commissioners for Her Majesty</w:t>
      </w:r>
      <w:r w:rsidR="007B40F7">
        <w:rPr>
          <w:rFonts w:ascii="Arial" w:eastAsia="Calibri" w:hAnsi="Arial" w:cs="Arial"/>
          <w:sz w:val="24"/>
          <w:szCs w:val="24"/>
        </w:rPr>
        <w:t>'</w:t>
      </w:r>
      <w:r w:rsidRPr="001D639D">
        <w:rPr>
          <w:rFonts w:ascii="Arial" w:eastAsia="Calibri" w:hAnsi="Arial" w:cs="Arial"/>
          <w:sz w:val="24"/>
          <w:szCs w:val="24"/>
        </w:rPr>
        <w:t>s Revenue and Customs</w:t>
      </w:r>
      <w:r w:rsidR="00987BB3">
        <w:rPr>
          <w:rFonts w:ascii="Arial" w:eastAsia="Calibri" w:hAnsi="Arial" w:cs="Arial"/>
          <w:sz w:val="24"/>
          <w:szCs w:val="24"/>
        </w:rPr>
        <w:t xml:space="preserve"> </w:t>
      </w:r>
      <w:r w:rsidR="00987BB3" w:rsidRPr="00987BB3">
        <w:rPr>
          <w:rFonts w:ascii="Arial" w:eastAsia="Calibri" w:hAnsi="Arial" w:cs="Arial"/>
          <w:sz w:val="24"/>
          <w:szCs w:val="24"/>
        </w:rPr>
        <w:t>[2021] UKFTT 290 (TC)</w:t>
      </w:r>
    </w:p>
    <w:p w14:paraId="2C5B1098" w14:textId="73BB9E71" w:rsidR="000F1B28" w:rsidRDefault="00811703" w:rsidP="00024C96">
      <w:pPr>
        <w:spacing w:before="100" w:beforeAutospacing="1" w:after="100" w:afterAutospacing="1"/>
        <w:rPr>
          <w:rFonts w:ascii="Arial" w:hAnsi="Arial" w:cs="Arial"/>
          <w:sz w:val="28"/>
          <w:szCs w:val="28"/>
        </w:rPr>
      </w:pPr>
      <w:bookmarkStart w:id="8" w:name="_Hlk20122093"/>
      <w:r w:rsidRPr="006531BC">
        <w:rPr>
          <w:rFonts w:ascii="Arial" w:hAnsi="Arial" w:cs="Arial"/>
          <w:sz w:val="28"/>
          <w:szCs w:val="28"/>
        </w:rPr>
        <w:t>T</w:t>
      </w:r>
      <w:bookmarkEnd w:id="8"/>
      <w:r w:rsidRPr="006531BC">
        <w:rPr>
          <w:rFonts w:ascii="Arial" w:hAnsi="Arial" w:cs="Arial"/>
          <w:sz w:val="28"/>
          <w:szCs w:val="28"/>
        </w:rPr>
        <w:t>ax</w:t>
      </w:r>
      <w:bookmarkStart w:id="9" w:name="_Hlk20148418"/>
    </w:p>
    <w:p w14:paraId="18FAC542" w14:textId="4B2D49D1" w:rsidR="00987BB3" w:rsidRPr="00987BB3" w:rsidRDefault="00987BB3" w:rsidP="00987BB3">
      <w:pPr>
        <w:spacing w:before="100" w:beforeAutospacing="1" w:after="100" w:afterAutospacing="1"/>
        <w:rPr>
          <w:rFonts w:ascii="Arial" w:eastAsia="Calibri" w:hAnsi="Arial" w:cs="Arial"/>
          <w:b/>
          <w:bCs/>
          <w:sz w:val="24"/>
          <w:szCs w:val="24"/>
        </w:rPr>
      </w:pPr>
      <w:r w:rsidRPr="00987BB3">
        <w:rPr>
          <w:rFonts w:ascii="Arial" w:eastAsia="Calibri" w:hAnsi="Arial" w:cs="Arial"/>
          <w:b/>
          <w:bCs/>
          <w:sz w:val="24"/>
          <w:szCs w:val="24"/>
        </w:rPr>
        <w:t>Received an Adverse Tax Decision? Don</w:t>
      </w:r>
      <w:r w:rsidR="007B40F7">
        <w:rPr>
          <w:rFonts w:ascii="Arial" w:eastAsia="Calibri" w:hAnsi="Arial" w:cs="Arial"/>
          <w:b/>
          <w:bCs/>
          <w:sz w:val="24"/>
          <w:szCs w:val="24"/>
        </w:rPr>
        <w:t>'</w:t>
      </w:r>
      <w:r w:rsidRPr="00987BB3">
        <w:rPr>
          <w:rFonts w:ascii="Arial" w:eastAsia="Calibri" w:hAnsi="Arial" w:cs="Arial"/>
          <w:b/>
          <w:bCs/>
          <w:sz w:val="24"/>
          <w:szCs w:val="24"/>
        </w:rPr>
        <w:t>t Delay Seeking Professional Advice</w:t>
      </w:r>
    </w:p>
    <w:p w14:paraId="676E2CCC" w14:textId="77777777" w:rsidR="00987BB3" w:rsidRPr="00987BB3" w:rsidRDefault="00987BB3" w:rsidP="00987BB3">
      <w:pPr>
        <w:spacing w:before="100" w:beforeAutospacing="1" w:after="100" w:afterAutospacing="1"/>
        <w:rPr>
          <w:rFonts w:ascii="Arial" w:eastAsia="Calibri" w:hAnsi="Arial" w:cs="Arial"/>
          <w:sz w:val="24"/>
          <w:szCs w:val="24"/>
        </w:rPr>
      </w:pPr>
      <w:r w:rsidRPr="00987BB3">
        <w:rPr>
          <w:rFonts w:ascii="Arial" w:eastAsia="Calibri" w:hAnsi="Arial" w:cs="Arial"/>
          <w:sz w:val="24"/>
          <w:szCs w:val="24"/>
        </w:rPr>
        <w:t>If you are on the receiving end of an adverse tax decision, any delay in seeking legal advice can be fatal to your cause. In a case on point, an importer of mobility scooters came dangerously close to losing its right of appeal against six-figure tax demands.</w:t>
      </w:r>
    </w:p>
    <w:p w14:paraId="08B97451" w14:textId="77777777" w:rsidR="00987BB3" w:rsidRPr="00987BB3" w:rsidRDefault="00987BB3" w:rsidP="00987BB3">
      <w:pPr>
        <w:spacing w:before="100" w:beforeAutospacing="1" w:after="100" w:afterAutospacing="1"/>
        <w:rPr>
          <w:rFonts w:ascii="Arial" w:eastAsia="Calibri" w:hAnsi="Arial" w:cs="Arial"/>
          <w:sz w:val="24"/>
          <w:szCs w:val="24"/>
        </w:rPr>
      </w:pPr>
      <w:r w:rsidRPr="00987BB3">
        <w:rPr>
          <w:rFonts w:ascii="Arial" w:eastAsia="Calibri" w:hAnsi="Arial" w:cs="Arial"/>
          <w:sz w:val="24"/>
          <w:szCs w:val="24"/>
        </w:rPr>
        <w:t>The importer argued that scooters it imported over a three-year period were properly classified as carriages for disabled persons and were thus free from import duties and VAT. HM Revenue and Customs (HMRC), however, took the view that they were simply motor vehicles and raised tax demands totalling £383,736.</w:t>
      </w:r>
    </w:p>
    <w:p w14:paraId="4DAFF19C" w14:textId="20568678" w:rsidR="00987BB3" w:rsidRPr="00987BB3" w:rsidRDefault="00987BB3" w:rsidP="00987BB3">
      <w:pPr>
        <w:spacing w:before="100" w:beforeAutospacing="1" w:after="100" w:afterAutospacing="1"/>
        <w:rPr>
          <w:rFonts w:ascii="Arial" w:eastAsia="Calibri" w:hAnsi="Arial" w:cs="Arial"/>
          <w:sz w:val="24"/>
          <w:szCs w:val="24"/>
        </w:rPr>
      </w:pPr>
      <w:r w:rsidRPr="00987BB3">
        <w:rPr>
          <w:rFonts w:ascii="Arial" w:eastAsia="Calibri" w:hAnsi="Arial" w:cs="Arial"/>
          <w:sz w:val="24"/>
          <w:szCs w:val="24"/>
        </w:rPr>
        <w:t>The importer had 30 days to appeal against HMRC</w:t>
      </w:r>
      <w:r w:rsidR="007B40F7">
        <w:rPr>
          <w:rFonts w:ascii="Arial" w:eastAsia="Calibri" w:hAnsi="Arial" w:cs="Arial"/>
          <w:sz w:val="24"/>
          <w:szCs w:val="24"/>
        </w:rPr>
        <w:t>'</w:t>
      </w:r>
      <w:r w:rsidRPr="00987BB3">
        <w:rPr>
          <w:rFonts w:ascii="Arial" w:eastAsia="Calibri" w:hAnsi="Arial" w:cs="Arial"/>
          <w:sz w:val="24"/>
          <w:szCs w:val="24"/>
        </w:rPr>
        <w:t>s relevant decisions, but missed that deadline, in one case by over three months. In those circumstances, the importer was constrained to make an application to the First-tier Tribunal (FTT) for permission to pursue a late appeal.</w:t>
      </w:r>
    </w:p>
    <w:p w14:paraId="71D4D1A0" w14:textId="3069F59B" w:rsidR="00987BB3" w:rsidRPr="00987BB3" w:rsidRDefault="00987BB3" w:rsidP="00987BB3">
      <w:pPr>
        <w:spacing w:before="100" w:beforeAutospacing="1" w:after="100" w:afterAutospacing="1"/>
        <w:rPr>
          <w:rFonts w:ascii="Arial" w:eastAsia="Calibri" w:hAnsi="Arial" w:cs="Arial"/>
          <w:sz w:val="24"/>
          <w:szCs w:val="24"/>
        </w:rPr>
      </w:pPr>
      <w:r w:rsidRPr="00987BB3">
        <w:rPr>
          <w:rFonts w:ascii="Arial" w:eastAsia="Calibri" w:hAnsi="Arial" w:cs="Arial"/>
          <w:sz w:val="24"/>
          <w:szCs w:val="24"/>
        </w:rPr>
        <w:t>Upholding the application, the FTT noted that the law in relation to the tax treatment of mobility scooters was in a state of flux. The impact of the COVID-19 pandemic on the importer</w:t>
      </w:r>
      <w:r w:rsidR="007B40F7">
        <w:rPr>
          <w:rFonts w:ascii="Arial" w:eastAsia="Calibri" w:hAnsi="Arial" w:cs="Arial"/>
          <w:sz w:val="24"/>
          <w:szCs w:val="24"/>
        </w:rPr>
        <w:t>'</w:t>
      </w:r>
      <w:r w:rsidRPr="00987BB3">
        <w:rPr>
          <w:rFonts w:ascii="Arial" w:eastAsia="Calibri" w:hAnsi="Arial" w:cs="Arial"/>
          <w:sz w:val="24"/>
          <w:szCs w:val="24"/>
        </w:rPr>
        <w:t>s ability to file the appeal on time was also relevant: workers had been instructed by the government to stay at home during lockdown and that made it difficult to access paperwork needed to file an appeal.</w:t>
      </w:r>
    </w:p>
    <w:p w14:paraId="0C7ACCCE" w14:textId="1ACFB4AD" w:rsidR="00987BB3" w:rsidRDefault="00987BB3" w:rsidP="00987BB3">
      <w:pPr>
        <w:spacing w:before="100" w:beforeAutospacing="1" w:after="100" w:afterAutospacing="1"/>
        <w:rPr>
          <w:rFonts w:ascii="Arial" w:eastAsia="Calibri" w:hAnsi="Arial" w:cs="Arial"/>
          <w:sz w:val="24"/>
          <w:szCs w:val="24"/>
        </w:rPr>
      </w:pPr>
      <w:r w:rsidRPr="00987BB3">
        <w:rPr>
          <w:rFonts w:ascii="Arial" w:eastAsia="Calibri" w:hAnsi="Arial" w:cs="Arial"/>
          <w:sz w:val="24"/>
          <w:szCs w:val="24"/>
        </w:rPr>
        <w:t xml:space="preserve">HMRC had suffered little prejudice </w:t>
      </w:r>
      <w:proofErr w:type="gramStart"/>
      <w:r w:rsidRPr="00987BB3">
        <w:rPr>
          <w:rFonts w:ascii="Arial" w:eastAsia="Calibri" w:hAnsi="Arial" w:cs="Arial"/>
          <w:sz w:val="24"/>
          <w:szCs w:val="24"/>
        </w:rPr>
        <w:t>as a result of</w:t>
      </w:r>
      <w:proofErr w:type="gramEnd"/>
      <w:r w:rsidRPr="00987BB3">
        <w:rPr>
          <w:rFonts w:ascii="Arial" w:eastAsia="Calibri" w:hAnsi="Arial" w:cs="Arial"/>
          <w:sz w:val="24"/>
          <w:szCs w:val="24"/>
        </w:rPr>
        <w:t xml:space="preserve"> the delay. Measured against that was the prejudice to the importer of having to pay a significant sum in tax without being able to pursue an arguable appeal. There were in any event good reasons for the delay and the balance came down firmly in favour of the importer.</w:t>
      </w:r>
    </w:p>
    <w:p w14:paraId="10EF545A" w14:textId="4883B42C" w:rsidR="00350F4E" w:rsidRDefault="00987BB3" w:rsidP="00987BB3">
      <w:pPr>
        <w:spacing w:before="100" w:beforeAutospacing="1" w:after="100" w:afterAutospacing="1"/>
        <w:rPr>
          <w:rFonts w:ascii="Arial" w:eastAsia="Calibri" w:hAnsi="Arial" w:cs="Arial"/>
          <w:sz w:val="24"/>
          <w:szCs w:val="24"/>
        </w:rPr>
      </w:pPr>
      <w:r w:rsidRPr="00987BB3">
        <w:rPr>
          <w:rFonts w:ascii="Arial" w:eastAsia="Calibri" w:hAnsi="Arial" w:cs="Arial"/>
          <w:sz w:val="24"/>
          <w:szCs w:val="24"/>
        </w:rPr>
        <w:t>If you are embroiled in a legal dispute with the tax authorities, our specialist lawyers can advise you.</w:t>
      </w:r>
    </w:p>
    <w:p w14:paraId="7FA3CDA7" w14:textId="77777777" w:rsidR="00350F4E" w:rsidRPr="00987BB3" w:rsidRDefault="00350F4E" w:rsidP="00987BB3">
      <w:pPr>
        <w:spacing w:before="100" w:beforeAutospacing="1" w:after="100" w:afterAutospacing="1"/>
        <w:rPr>
          <w:rFonts w:ascii="Arial" w:eastAsia="Calibri" w:hAnsi="Arial" w:cs="Arial"/>
          <w:sz w:val="24"/>
          <w:szCs w:val="24"/>
        </w:rPr>
      </w:pPr>
    </w:p>
    <w:p w14:paraId="5E0FC10B" w14:textId="77777777" w:rsidR="00987BB3" w:rsidRPr="00987BB3" w:rsidRDefault="00987BB3" w:rsidP="00987BB3">
      <w:pPr>
        <w:rPr>
          <w:rFonts w:ascii="Arial" w:eastAsia="Calibri" w:hAnsi="Arial" w:cs="Arial"/>
          <w:b/>
          <w:bCs/>
          <w:sz w:val="24"/>
          <w:szCs w:val="24"/>
        </w:rPr>
      </w:pPr>
      <w:r w:rsidRPr="00987BB3">
        <w:rPr>
          <w:rFonts w:ascii="Arial" w:eastAsia="Calibri" w:hAnsi="Arial" w:cs="Arial"/>
          <w:b/>
          <w:bCs/>
          <w:sz w:val="24"/>
          <w:szCs w:val="24"/>
        </w:rPr>
        <w:t>Partner Note</w:t>
      </w:r>
    </w:p>
    <w:p w14:paraId="1D6DA468" w14:textId="5A35449B" w:rsidR="00987BB3" w:rsidRPr="00987BB3" w:rsidRDefault="00987BB3" w:rsidP="00987BB3">
      <w:pPr>
        <w:rPr>
          <w:rFonts w:ascii="Arial" w:eastAsia="Calibri" w:hAnsi="Arial" w:cs="Arial"/>
          <w:sz w:val="24"/>
          <w:szCs w:val="24"/>
        </w:rPr>
      </w:pPr>
      <w:r w:rsidRPr="00987BB3">
        <w:rPr>
          <w:rFonts w:ascii="Arial" w:eastAsia="Calibri" w:hAnsi="Arial" w:cs="Arial"/>
          <w:sz w:val="24"/>
          <w:szCs w:val="24"/>
        </w:rPr>
        <w:t>Sunrise Medical Ltd v The Commissioners for Her Majesty</w:t>
      </w:r>
      <w:r w:rsidR="007B40F7">
        <w:rPr>
          <w:rFonts w:ascii="Arial" w:eastAsia="Calibri" w:hAnsi="Arial" w:cs="Arial"/>
          <w:sz w:val="24"/>
          <w:szCs w:val="24"/>
        </w:rPr>
        <w:t>'</w:t>
      </w:r>
      <w:r w:rsidRPr="00987BB3">
        <w:rPr>
          <w:rFonts w:ascii="Arial" w:eastAsia="Calibri" w:hAnsi="Arial" w:cs="Arial"/>
          <w:sz w:val="24"/>
          <w:szCs w:val="24"/>
        </w:rPr>
        <w:t>s Revenue and Customs [2021] UKFTT 316 (TC)</w:t>
      </w:r>
    </w:p>
    <w:p w14:paraId="4CD5CEA0" w14:textId="45A93229" w:rsidR="00646E8D" w:rsidRDefault="00646E8D" w:rsidP="00DF5E29">
      <w:pPr>
        <w:spacing w:before="100" w:beforeAutospacing="1" w:after="100" w:afterAutospacing="1"/>
        <w:rPr>
          <w:rFonts w:ascii="Arial" w:hAnsi="Arial" w:cs="Arial"/>
          <w:sz w:val="28"/>
          <w:szCs w:val="28"/>
        </w:rPr>
      </w:pPr>
      <w:r w:rsidRPr="00252D58">
        <w:rPr>
          <w:rFonts w:ascii="Arial" w:hAnsi="Arial" w:cs="Arial"/>
          <w:sz w:val="28"/>
          <w:szCs w:val="28"/>
        </w:rPr>
        <w:t>Co</w:t>
      </w:r>
      <w:r>
        <w:rPr>
          <w:rFonts w:ascii="Arial" w:hAnsi="Arial" w:cs="Arial"/>
          <w:sz w:val="28"/>
          <w:szCs w:val="28"/>
        </w:rPr>
        <w:t>mmercial Litigation</w:t>
      </w:r>
    </w:p>
    <w:p w14:paraId="5FBC8D56" w14:textId="24BCC66A" w:rsidR="00987BB3" w:rsidRPr="00987BB3" w:rsidRDefault="00987BB3" w:rsidP="00987BB3">
      <w:pPr>
        <w:spacing w:before="100" w:beforeAutospacing="1" w:after="100" w:afterAutospacing="1"/>
        <w:rPr>
          <w:rFonts w:ascii="Arial" w:eastAsia="Calibri" w:hAnsi="Arial" w:cs="Arial"/>
          <w:b/>
          <w:bCs/>
          <w:sz w:val="24"/>
          <w:szCs w:val="24"/>
        </w:rPr>
      </w:pPr>
      <w:r w:rsidRPr="00987BB3">
        <w:rPr>
          <w:rFonts w:ascii="Arial" w:eastAsia="Calibri" w:hAnsi="Arial" w:cs="Arial"/>
          <w:b/>
          <w:bCs/>
          <w:sz w:val="24"/>
          <w:szCs w:val="24"/>
        </w:rPr>
        <w:t>Obey Court Orders</w:t>
      </w:r>
      <w:r w:rsidR="00711440">
        <w:rPr>
          <w:rFonts w:ascii="Arial" w:eastAsia="Calibri" w:hAnsi="Arial" w:cs="Arial"/>
          <w:b/>
          <w:bCs/>
          <w:sz w:val="24"/>
          <w:szCs w:val="24"/>
        </w:rPr>
        <w:t xml:space="preserve"> </w:t>
      </w:r>
      <w:r w:rsidR="009A5F65">
        <w:rPr>
          <w:rFonts w:ascii="Arial" w:eastAsia="Calibri" w:hAnsi="Arial" w:cs="Arial"/>
          <w:b/>
          <w:bCs/>
          <w:sz w:val="24"/>
          <w:szCs w:val="24"/>
        </w:rPr>
        <w:t>O</w:t>
      </w:r>
      <w:r w:rsidRPr="00987BB3">
        <w:rPr>
          <w:rFonts w:ascii="Arial" w:eastAsia="Calibri" w:hAnsi="Arial" w:cs="Arial"/>
          <w:b/>
          <w:bCs/>
          <w:sz w:val="24"/>
          <w:szCs w:val="24"/>
        </w:rPr>
        <w:t>r Else! Businessman Receives Maximum Sentence</w:t>
      </w:r>
    </w:p>
    <w:p w14:paraId="5F870537" w14:textId="77777777" w:rsidR="00987BB3" w:rsidRPr="00987BB3" w:rsidRDefault="00987BB3" w:rsidP="00987BB3">
      <w:pPr>
        <w:spacing w:before="100" w:beforeAutospacing="1" w:after="100" w:afterAutospacing="1"/>
        <w:rPr>
          <w:rFonts w:ascii="Arial" w:eastAsia="Calibri" w:hAnsi="Arial" w:cs="Arial"/>
          <w:sz w:val="24"/>
          <w:szCs w:val="24"/>
        </w:rPr>
      </w:pPr>
      <w:r w:rsidRPr="00987BB3">
        <w:rPr>
          <w:rFonts w:ascii="Arial" w:eastAsia="Calibri" w:hAnsi="Arial" w:cs="Arial"/>
          <w:sz w:val="24"/>
          <w:szCs w:val="24"/>
        </w:rPr>
        <w:t>Judges mean business and those who defy their orders face severe punishment, up to and including loss of liberty. The Court of Appeal resoundingly made that point in confirming a prison sentence imposed on a businessman whose acts of contempt were perhaps the most serious ever to come before an English court.</w:t>
      </w:r>
    </w:p>
    <w:p w14:paraId="59DFFB2D" w14:textId="4287E7A6" w:rsidR="00987BB3" w:rsidRPr="00987BB3" w:rsidRDefault="00987BB3" w:rsidP="00987BB3">
      <w:pPr>
        <w:spacing w:before="100" w:beforeAutospacing="1" w:after="100" w:afterAutospacing="1"/>
        <w:rPr>
          <w:rFonts w:ascii="Arial" w:eastAsia="Calibri" w:hAnsi="Arial" w:cs="Arial"/>
          <w:sz w:val="24"/>
          <w:szCs w:val="24"/>
        </w:rPr>
      </w:pPr>
      <w:r w:rsidRPr="00987BB3">
        <w:rPr>
          <w:rFonts w:ascii="Arial" w:eastAsia="Calibri" w:hAnsi="Arial" w:cs="Arial"/>
          <w:sz w:val="24"/>
          <w:szCs w:val="24"/>
        </w:rPr>
        <w:t>A commercial dispute reached its culmination in 2014 when the businessman was ordered to pay a shipping company over $37 million. The judgment debt remained largely unsatisfied and, with interest, it had since ballooned to over $70 million. The company</w:t>
      </w:r>
      <w:r w:rsidR="007B40F7">
        <w:rPr>
          <w:rFonts w:ascii="Arial" w:eastAsia="Calibri" w:hAnsi="Arial" w:cs="Arial"/>
          <w:sz w:val="24"/>
          <w:szCs w:val="24"/>
        </w:rPr>
        <w:t>'</w:t>
      </w:r>
      <w:r w:rsidRPr="00987BB3">
        <w:rPr>
          <w:rFonts w:ascii="Arial" w:eastAsia="Calibri" w:hAnsi="Arial" w:cs="Arial"/>
          <w:sz w:val="24"/>
          <w:szCs w:val="24"/>
        </w:rPr>
        <w:t>s attempts at enforcing payment had been repeatedly frustrated by the businessman</w:t>
      </w:r>
      <w:r w:rsidR="007B40F7">
        <w:rPr>
          <w:rFonts w:ascii="Arial" w:eastAsia="Calibri" w:hAnsi="Arial" w:cs="Arial"/>
          <w:sz w:val="24"/>
          <w:szCs w:val="24"/>
        </w:rPr>
        <w:t>'</w:t>
      </w:r>
      <w:r w:rsidRPr="00987BB3">
        <w:rPr>
          <w:rFonts w:ascii="Arial" w:eastAsia="Calibri" w:hAnsi="Arial" w:cs="Arial"/>
          <w:sz w:val="24"/>
          <w:szCs w:val="24"/>
        </w:rPr>
        <w:t>s flagrant breaches of numerous court orders.</w:t>
      </w:r>
    </w:p>
    <w:p w14:paraId="00B3D248" w14:textId="72CEB34D" w:rsidR="00987BB3" w:rsidRPr="00987BB3" w:rsidRDefault="00987BB3" w:rsidP="00987BB3">
      <w:pPr>
        <w:spacing w:before="100" w:beforeAutospacing="1" w:after="100" w:afterAutospacing="1"/>
        <w:rPr>
          <w:rFonts w:ascii="Arial" w:eastAsia="Calibri" w:hAnsi="Arial" w:cs="Arial"/>
          <w:sz w:val="24"/>
          <w:szCs w:val="24"/>
        </w:rPr>
      </w:pPr>
      <w:r w:rsidRPr="00987BB3">
        <w:rPr>
          <w:rFonts w:ascii="Arial" w:eastAsia="Calibri" w:hAnsi="Arial" w:cs="Arial"/>
          <w:sz w:val="24"/>
          <w:szCs w:val="24"/>
        </w:rPr>
        <w:t xml:space="preserve">Over a period of nine years, he had presented false affidavits and consistently failed to fully disclose his assets. He failed to provide access to email and social media accounts, did not comply with a search order and took steps to dissipate assets. Despite being jailed for contempt of court on no </w:t>
      </w:r>
      <w:r w:rsidR="009A5F65">
        <w:rPr>
          <w:rFonts w:ascii="Arial" w:eastAsia="Calibri" w:hAnsi="Arial" w:cs="Arial"/>
          <w:sz w:val="24"/>
          <w:szCs w:val="24"/>
        </w:rPr>
        <w:t>fewer</w:t>
      </w:r>
      <w:r w:rsidR="009A5F65" w:rsidRPr="00987BB3">
        <w:rPr>
          <w:rFonts w:ascii="Arial" w:eastAsia="Calibri" w:hAnsi="Arial" w:cs="Arial"/>
          <w:sz w:val="24"/>
          <w:szCs w:val="24"/>
        </w:rPr>
        <w:t xml:space="preserve"> </w:t>
      </w:r>
      <w:r w:rsidRPr="00987BB3">
        <w:rPr>
          <w:rFonts w:ascii="Arial" w:eastAsia="Calibri" w:hAnsi="Arial" w:cs="Arial"/>
          <w:sz w:val="24"/>
          <w:szCs w:val="24"/>
        </w:rPr>
        <w:t>than three occasions, his determined disobedience had continued unabated.</w:t>
      </w:r>
    </w:p>
    <w:p w14:paraId="0D96BAF9" w14:textId="62CF3981" w:rsidR="00987BB3" w:rsidRPr="00987BB3" w:rsidRDefault="00987BB3" w:rsidP="00987BB3">
      <w:pPr>
        <w:spacing w:before="100" w:beforeAutospacing="1" w:after="100" w:afterAutospacing="1"/>
        <w:rPr>
          <w:rFonts w:ascii="Arial" w:eastAsia="Calibri" w:hAnsi="Arial" w:cs="Arial"/>
          <w:sz w:val="24"/>
          <w:szCs w:val="24"/>
        </w:rPr>
      </w:pPr>
      <w:r w:rsidRPr="00987BB3">
        <w:rPr>
          <w:rFonts w:ascii="Arial" w:eastAsia="Calibri" w:hAnsi="Arial" w:cs="Arial"/>
          <w:sz w:val="24"/>
          <w:szCs w:val="24"/>
        </w:rPr>
        <w:t>His latest sentence of two years</w:t>
      </w:r>
      <w:r w:rsidR="007B40F7">
        <w:rPr>
          <w:rFonts w:ascii="Arial" w:eastAsia="Calibri" w:hAnsi="Arial" w:cs="Arial"/>
          <w:sz w:val="24"/>
          <w:szCs w:val="24"/>
        </w:rPr>
        <w:t>'</w:t>
      </w:r>
      <w:r w:rsidRPr="00987BB3">
        <w:rPr>
          <w:rFonts w:ascii="Arial" w:eastAsia="Calibri" w:hAnsi="Arial" w:cs="Arial"/>
          <w:sz w:val="24"/>
          <w:szCs w:val="24"/>
        </w:rPr>
        <w:t xml:space="preserve"> imprisonment – the maximum term available – was imposed after he admitted 20 acts of contempt. He challenged that punishment on the basis that it was manifestly excessive and plainly wrong in principle, in that his mitigation had not been </w:t>
      </w:r>
      <w:proofErr w:type="gramStart"/>
      <w:r w:rsidRPr="00987BB3">
        <w:rPr>
          <w:rFonts w:ascii="Arial" w:eastAsia="Calibri" w:hAnsi="Arial" w:cs="Arial"/>
          <w:sz w:val="24"/>
          <w:szCs w:val="24"/>
        </w:rPr>
        <w:t>taken into account</w:t>
      </w:r>
      <w:proofErr w:type="gramEnd"/>
      <w:r w:rsidRPr="00987BB3">
        <w:rPr>
          <w:rFonts w:ascii="Arial" w:eastAsia="Calibri" w:hAnsi="Arial" w:cs="Arial"/>
          <w:sz w:val="24"/>
          <w:szCs w:val="24"/>
        </w:rPr>
        <w:t>.</w:t>
      </w:r>
    </w:p>
    <w:p w14:paraId="6A8F9961" w14:textId="1A911626" w:rsidR="00987BB3" w:rsidRDefault="00987BB3" w:rsidP="00987BB3">
      <w:pPr>
        <w:spacing w:before="100" w:beforeAutospacing="1" w:after="100" w:afterAutospacing="1"/>
        <w:rPr>
          <w:rFonts w:ascii="Arial" w:eastAsia="Calibri" w:hAnsi="Arial" w:cs="Arial"/>
          <w:sz w:val="24"/>
          <w:szCs w:val="24"/>
        </w:rPr>
      </w:pPr>
      <w:r w:rsidRPr="00987BB3">
        <w:rPr>
          <w:rFonts w:ascii="Arial" w:eastAsia="Calibri" w:hAnsi="Arial" w:cs="Arial"/>
          <w:sz w:val="24"/>
          <w:szCs w:val="24"/>
        </w:rPr>
        <w:t>Rejecting his appeal, however, the Court found that there was no material mitigation available to him. His admissions were made at a late stage and the judge who jailed him was entitled to take the view that his apologies amounted to meaningless lip service. The sentence accurately reflected the gravity of his conduct.</w:t>
      </w:r>
    </w:p>
    <w:p w14:paraId="17819B27" w14:textId="77777777" w:rsidR="00987BB3" w:rsidRDefault="00987BB3" w:rsidP="00987BB3">
      <w:pPr>
        <w:spacing w:before="100" w:beforeAutospacing="1" w:after="100" w:afterAutospacing="1"/>
        <w:rPr>
          <w:rFonts w:ascii="Arial" w:eastAsia="Calibri" w:hAnsi="Arial" w:cs="Arial"/>
          <w:sz w:val="24"/>
          <w:szCs w:val="24"/>
        </w:rPr>
      </w:pPr>
      <w:r w:rsidRPr="00920595">
        <w:rPr>
          <w:rFonts w:ascii="Arial" w:eastAsia="Calibri" w:hAnsi="Arial" w:cs="Arial"/>
          <w:sz w:val="24"/>
          <w:szCs w:val="24"/>
        </w:rPr>
        <w:t xml:space="preserve">Says </w:t>
      </w:r>
      <w:r w:rsidRPr="00920595">
        <w:rPr>
          <w:rFonts w:ascii="Arial" w:eastAsia="Calibri" w:hAnsi="Arial" w:cs="Arial"/>
          <w:color w:val="FF0000"/>
          <w:sz w:val="24"/>
          <w:szCs w:val="24"/>
        </w:rPr>
        <w:t>&lt;&lt;CONTACT DETAILS&gt;&gt;</w:t>
      </w:r>
      <w:r w:rsidRPr="00920595">
        <w:rPr>
          <w:rFonts w:ascii="Arial" w:eastAsia="Calibri" w:hAnsi="Arial" w:cs="Arial"/>
          <w:sz w:val="24"/>
          <w:szCs w:val="24"/>
        </w:rPr>
        <w:t>, "Expert legal advice is essential in all litigation. Preparing the best possible evidential support is vital, as is compliance with the rules of litigation practice."</w:t>
      </w:r>
    </w:p>
    <w:p w14:paraId="21FC090D" w14:textId="2925502D" w:rsidR="00987BB3" w:rsidRPr="00987BB3" w:rsidRDefault="00987BB3" w:rsidP="00987BB3">
      <w:pPr>
        <w:rPr>
          <w:rFonts w:ascii="Arial" w:eastAsia="Calibri" w:hAnsi="Arial" w:cs="Arial"/>
          <w:sz w:val="24"/>
          <w:szCs w:val="24"/>
        </w:rPr>
      </w:pPr>
      <w:r w:rsidRPr="00987BB3">
        <w:rPr>
          <w:rFonts w:ascii="Arial" w:eastAsia="Calibri" w:hAnsi="Arial" w:cs="Arial"/>
          <w:b/>
          <w:bCs/>
          <w:sz w:val="24"/>
          <w:szCs w:val="24"/>
        </w:rPr>
        <w:t>Partner Note</w:t>
      </w:r>
    </w:p>
    <w:p w14:paraId="5CF3FB9B" w14:textId="77777777" w:rsidR="00987BB3" w:rsidRPr="00987BB3" w:rsidRDefault="00987BB3" w:rsidP="00987BB3">
      <w:pPr>
        <w:rPr>
          <w:rFonts w:ascii="Arial" w:eastAsia="Calibri" w:hAnsi="Arial" w:cs="Arial"/>
          <w:sz w:val="24"/>
          <w:szCs w:val="24"/>
        </w:rPr>
      </w:pPr>
      <w:r w:rsidRPr="00987BB3">
        <w:rPr>
          <w:rFonts w:ascii="Arial" w:eastAsia="Calibri" w:hAnsi="Arial" w:cs="Arial"/>
          <w:sz w:val="24"/>
          <w:szCs w:val="24"/>
        </w:rPr>
        <w:t xml:space="preserve">Su v TMT Company Ltd and Others [2021] EWCA </w:t>
      </w:r>
      <w:proofErr w:type="spellStart"/>
      <w:r w:rsidRPr="00987BB3">
        <w:rPr>
          <w:rFonts w:ascii="Arial" w:eastAsia="Calibri" w:hAnsi="Arial" w:cs="Arial"/>
          <w:sz w:val="24"/>
          <w:szCs w:val="24"/>
        </w:rPr>
        <w:t>Civ</w:t>
      </w:r>
      <w:proofErr w:type="spellEnd"/>
      <w:r w:rsidRPr="00987BB3">
        <w:rPr>
          <w:rFonts w:ascii="Arial" w:eastAsia="Calibri" w:hAnsi="Arial" w:cs="Arial"/>
          <w:sz w:val="24"/>
          <w:szCs w:val="24"/>
        </w:rPr>
        <w:t xml:space="preserve"> 1355</w:t>
      </w:r>
    </w:p>
    <w:p w14:paraId="036AF710" w14:textId="6229E19C" w:rsidR="00584ACC" w:rsidRDefault="00584ACC" w:rsidP="007C1CA9">
      <w:pPr>
        <w:spacing w:before="100" w:beforeAutospacing="1" w:after="100" w:afterAutospacing="1"/>
        <w:rPr>
          <w:rFonts w:ascii="Arial" w:eastAsia="Times New Roman" w:hAnsi="Arial" w:cs="Arial"/>
          <w:sz w:val="28"/>
          <w:szCs w:val="28"/>
          <w:lang w:eastAsia="en-GB"/>
        </w:rPr>
      </w:pPr>
      <w:bookmarkStart w:id="10" w:name="_Hlk83814019"/>
      <w:r>
        <w:rPr>
          <w:rFonts w:ascii="Arial" w:eastAsia="Times New Roman" w:hAnsi="Arial" w:cs="Arial"/>
          <w:sz w:val="28"/>
          <w:szCs w:val="28"/>
          <w:lang w:eastAsia="en-GB"/>
        </w:rPr>
        <w:t>Comp</w:t>
      </w:r>
      <w:bookmarkEnd w:id="10"/>
      <w:r>
        <w:rPr>
          <w:rFonts w:ascii="Arial" w:eastAsia="Times New Roman" w:hAnsi="Arial" w:cs="Arial"/>
          <w:sz w:val="28"/>
          <w:szCs w:val="28"/>
          <w:lang w:eastAsia="en-GB"/>
        </w:rPr>
        <w:t>any</w:t>
      </w:r>
    </w:p>
    <w:p w14:paraId="0B187D98" w14:textId="7EC195AB" w:rsidR="00987BB3" w:rsidRPr="00987BB3" w:rsidRDefault="00987BB3" w:rsidP="00987BB3">
      <w:pPr>
        <w:spacing w:before="100" w:beforeAutospacing="1" w:after="100" w:afterAutospacing="1"/>
        <w:rPr>
          <w:rFonts w:ascii="Arial" w:eastAsia="Calibri" w:hAnsi="Arial" w:cs="Arial"/>
          <w:b/>
          <w:bCs/>
          <w:sz w:val="24"/>
          <w:szCs w:val="24"/>
        </w:rPr>
      </w:pPr>
      <w:r w:rsidRPr="00987BB3">
        <w:rPr>
          <w:rFonts w:ascii="Arial" w:eastAsia="Calibri" w:hAnsi="Arial" w:cs="Arial"/>
          <w:b/>
          <w:bCs/>
          <w:sz w:val="24"/>
          <w:szCs w:val="24"/>
        </w:rPr>
        <w:t xml:space="preserve">Business Relationship Fallen Apart? The Law Can Help Pick </w:t>
      </w:r>
      <w:r w:rsidR="003F7613">
        <w:rPr>
          <w:rFonts w:ascii="Arial" w:eastAsia="Calibri" w:hAnsi="Arial" w:cs="Arial"/>
          <w:b/>
          <w:bCs/>
          <w:sz w:val="24"/>
          <w:szCs w:val="24"/>
        </w:rPr>
        <w:t>U</w:t>
      </w:r>
      <w:r w:rsidR="003F7613" w:rsidRPr="00987BB3">
        <w:rPr>
          <w:rFonts w:ascii="Arial" w:eastAsia="Calibri" w:hAnsi="Arial" w:cs="Arial"/>
          <w:b/>
          <w:bCs/>
          <w:sz w:val="24"/>
          <w:szCs w:val="24"/>
        </w:rPr>
        <w:t xml:space="preserve">p </w:t>
      </w:r>
      <w:r w:rsidRPr="00987BB3">
        <w:rPr>
          <w:rFonts w:ascii="Arial" w:eastAsia="Calibri" w:hAnsi="Arial" w:cs="Arial"/>
          <w:b/>
          <w:bCs/>
          <w:sz w:val="24"/>
          <w:szCs w:val="24"/>
        </w:rPr>
        <w:t>the Pieces</w:t>
      </w:r>
    </w:p>
    <w:p w14:paraId="4596E4E5" w14:textId="77777777" w:rsidR="00987BB3" w:rsidRPr="00987BB3" w:rsidRDefault="00987BB3" w:rsidP="00987BB3">
      <w:pPr>
        <w:spacing w:before="100" w:beforeAutospacing="1" w:after="100" w:afterAutospacing="1"/>
        <w:rPr>
          <w:rFonts w:ascii="Arial" w:eastAsia="Calibri" w:hAnsi="Arial" w:cs="Arial"/>
          <w:sz w:val="24"/>
          <w:szCs w:val="24"/>
        </w:rPr>
      </w:pPr>
      <w:r w:rsidRPr="00987BB3">
        <w:rPr>
          <w:rFonts w:ascii="Arial" w:eastAsia="Calibri" w:hAnsi="Arial" w:cs="Arial"/>
          <w:sz w:val="24"/>
          <w:szCs w:val="24"/>
        </w:rPr>
        <w:lastRenderedPageBreak/>
        <w:t>No matter how long and successful a business relationship may be, there is always a risk that it may end acrimoniously. Such disputes can be intractable and, as a High Court ruling showed, there are times when only the law can provide closure.</w:t>
      </w:r>
    </w:p>
    <w:p w14:paraId="48D7F344" w14:textId="590D18AD" w:rsidR="00987BB3" w:rsidRPr="00987BB3" w:rsidRDefault="00987BB3" w:rsidP="00987BB3">
      <w:pPr>
        <w:spacing w:before="100" w:beforeAutospacing="1" w:after="100" w:afterAutospacing="1"/>
        <w:rPr>
          <w:rFonts w:ascii="Arial" w:eastAsia="Calibri" w:hAnsi="Arial" w:cs="Arial"/>
          <w:sz w:val="24"/>
          <w:szCs w:val="24"/>
        </w:rPr>
      </w:pPr>
      <w:r w:rsidRPr="00987BB3">
        <w:rPr>
          <w:rFonts w:ascii="Arial" w:eastAsia="Calibri" w:hAnsi="Arial" w:cs="Arial"/>
          <w:sz w:val="24"/>
          <w:szCs w:val="24"/>
        </w:rPr>
        <w:t>The case concerned a thriving company that was established in the 1980s by two men in their 20s who were best friends at school. After more than three decades working together, they fell out irretrievably. One of them (A) decided that the other (B) must resign from the company</w:t>
      </w:r>
      <w:r w:rsidR="007B40F7">
        <w:rPr>
          <w:rFonts w:ascii="Arial" w:eastAsia="Calibri" w:hAnsi="Arial" w:cs="Arial"/>
          <w:sz w:val="24"/>
          <w:szCs w:val="24"/>
        </w:rPr>
        <w:t>'</w:t>
      </w:r>
      <w:r w:rsidRPr="00987BB3">
        <w:rPr>
          <w:rFonts w:ascii="Arial" w:eastAsia="Calibri" w:hAnsi="Arial" w:cs="Arial"/>
          <w:sz w:val="24"/>
          <w:szCs w:val="24"/>
        </w:rPr>
        <w:t>s board and brought pressure to bear upon him to do so.</w:t>
      </w:r>
    </w:p>
    <w:p w14:paraId="1F9C5BE2" w14:textId="3B278F00" w:rsidR="00987BB3" w:rsidRPr="00987BB3" w:rsidRDefault="00987BB3" w:rsidP="00987BB3">
      <w:pPr>
        <w:spacing w:before="100" w:beforeAutospacing="1" w:after="100" w:afterAutospacing="1"/>
        <w:rPr>
          <w:rFonts w:ascii="Arial" w:eastAsia="Calibri" w:hAnsi="Arial" w:cs="Arial"/>
          <w:sz w:val="24"/>
          <w:szCs w:val="24"/>
        </w:rPr>
      </w:pPr>
      <w:r w:rsidRPr="00987BB3">
        <w:rPr>
          <w:rFonts w:ascii="Arial" w:eastAsia="Calibri" w:hAnsi="Arial" w:cs="Arial"/>
          <w:sz w:val="24"/>
          <w:szCs w:val="24"/>
        </w:rPr>
        <w:t>Following a meeting, B signed documents by which he resigned as a director. He agreed in principle to sell his and his wife</w:t>
      </w:r>
      <w:r w:rsidR="007B40F7">
        <w:rPr>
          <w:rFonts w:ascii="Arial" w:eastAsia="Calibri" w:hAnsi="Arial" w:cs="Arial"/>
          <w:sz w:val="24"/>
          <w:szCs w:val="24"/>
        </w:rPr>
        <w:t>'</w:t>
      </w:r>
      <w:r w:rsidRPr="00987BB3">
        <w:rPr>
          <w:rFonts w:ascii="Arial" w:eastAsia="Calibri" w:hAnsi="Arial" w:cs="Arial"/>
          <w:sz w:val="24"/>
          <w:szCs w:val="24"/>
        </w:rPr>
        <w:t>s shares in the company to A for £6.6 million. However, B subsequently declined to sign the sale contract, instead launching proceedings against A, the company and its other directors.</w:t>
      </w:r>
    </w:p>
    <w:p w14:paraId="4C7DC152" w14:textId="302B94B5" w:rsidR="00987BB3" w:rsidRPr="00987BB3" w:rsidRDefault="00987BB3" w:rsidP="00987BB3">
      <w:pPr>
        <w:spacing w:before="100" w:beforeAutospacing="1" w:after="100" w:afterAutospacing="1"/>
        <w:rPr>
          <w:rFonts w:ascii="Arial" w:eastAsia="Calibri" w:hAnsi="Arial" w:cs="Arial"/>
          <w:sz w:val="24"/>
          <w:szCs w:val="24"/>
        </w:rPr>
      </w:pPr>
      <w:r w:rsidRPr="00987BB3">
        <w:rPr>
          <w:rFonts w:ascii="Arial" w:eastAsia="Calibri" w:hAnsi="Arial" w:cs="Arial"/>
          <w:sz w:val="24"/>
          <w:szCs w:val="24"/>
        </w:rPr>
        <w:t xml:space="preserve">B asserted that A had tried to manipulate him with a view to removing him from the company. He and his wife claimed </w:t>
      </w:r>
      <w:proofErr w:type="gramStart"/>
      <w:r w:rsidRPr="00987BB3">
        <w:rPr>
          <w:rFonts w:ascii="Arial" w:eastAsia="Calibri" w:hAnsi="Arial" w:cs="Arial"/>
          <w:sz w:val="24"/>
          <w:szCs w:val="24"/>
        </w:rPr>
        <w:t>that,</w:t>
      </w:r>
      <w:proofErr w:type="gramEnd"/>
      <w:r w:rsidRPr="00987BB3">
        <w:rPr>
          <w:rFonts w:ascii="Arial" w:eastAsia="Calibri" w:hAnsi="Arial" w:cs="Arial"/>
          <w:sz w:val="24"/>
          <w:szCs w:val="24"/>
        </w:rPr>
        <w:t xml:space="preserve"> contrary to Section 994 of the Companies Act 2006, the company</w:t>
      </w:r>
      <w:r w:rsidR="007B40F7">
        <w:rPr>
          <w:rFonts w:ascii="Arial" w:eastAsia="Calibri" w:hAnsi="Arial" w:cs="Arial"/>
          <w:sz w:val="24"/>
          <w:szCs w:val="24"/>
        </w:rPr>
        <w:t>'</w:t>
      </w:r>
      <w:r w:rsidRPr="00987BB3">
        <w:rPr>
          <w:rFonts w:ascii="Arial" w:eastAsia="Calibri" w:hAnsi="Arial" w:cs="Arial"/>
          <w:sz w:val="24"/>
          <w:szCs w:val="24"/>
        </w:rPr>
        <w:t>s affairs had been conducted in a manner that unfairly prejudiced their interests as minority shareholders.</w:t>
      </w:r>
    </w:p>
    <w:p w14:paraId="0F6E46ED" w14:textId="6397B555" w:rsidR="00987BB3" w:rsidRPr="00987BB3" w:rsidRDefault="00987BB3" w:rsidP="00987BB3">
      <w:pPr>
        <w:spacing w:before="100" w:beforeAutospacing="1" w:after="100" w:afterAutospacing="1"/>
        <w:rPr>
          <w:rFonts w:ascii="Arial" w:eastAsia="Calibri" w:hAnsi="Arial" w:cs="Arial"/>
          <w:sz w:val="24"/>
          <w:szCs w:val="24"/>
        </w:rPr>
      </w:pPr>
      <w:r w:rsidRPr="00987BB3">
        <w:rPr>
          <w:rFonts w:ascii="Arial" w:eastAsia="Calibri" w:hAnsi="Arial" w:cs="Arial"/>
          <w:sz w:val="24"/>
          <w:szCs w:val="24"/>
        </w:rPr>
        <w:t>Upholding that claim, the Court found that B</w:t>
      </w:r>
      <w:r w:rsidR="007B40F7">
        <w:rPr>
          <w:rFonts w:ascii="Arial" w:eastAsia="Calibri" w:hAnsi="Arial" w:cs="Arial"/>
          <w:sz w:val="24"/>
          <w:szCs w:val="24"/>
        </w:rPr>
        <w:t>'</w:t>
      </w:r>
      <w:r w:rsidRPr="00987BB3">
        <w:rPr>
          <w:rFonts w:ascii="Arial" w:eastAsia="Calibri" w:hAnsi="Arial" w:cs="Arial"/>
          <w:sz w:val="24"/>
          <w:szCs w:val="24"/>
        </w:rPr>
        <w:t>s formal resignation prior to negotiating a price for his shares was influenced by a threat and an implied threat made by A. Although he was not directly influenced to agree a £6.6 million price for his shares</w:t>
      </w:r>
      <w:r w:rsidR="002B75F6">
        <w:rPr>
          <w:rFonts w:ascii="Arial" w:eastAsia="Calibri" w:hAnsi="Arial" w:cs="Arial"/>
          <w:sz w:val="24"/>
          <w:szCs w:val="24"/>
        </w:rPr>
        <w:t xml:space="preserve"> </w:t>
      </w:r>
      <w:r w:rsidR="002B75F6" w:rsidRPr="00987BB3">
        <w:rPr>
          <w:rFonts w:ascii="Arial" w:eastAsia="Calibri" w:hAnsi="Arial" w:cs="Arial"/>
          <w:sz w:val="24"/>
          <w:szCs w:val="24"/>
        </w:rPr>
        <w:t>by any threat</w:t>
      </w:r>
      <w:r w:rsidRPr="00987BB3">
        <w:rPr>
          <w:rFonts w:ascii="Arial" w:eastAsia="Calibri" w:hAnsi="Arial" w:cs="Arial"/>
          <w:sz w:val="24"/>
          <w:szCs w:val="24"/>
        </w:rPr>
        <w:t>, he had been forced to negotiate that price from a position of weakness, having already resigned from the board.</w:t>
      </w:r>
    </w:p>
    <w:p w14:paraId="14A3A74D" w14:textId="74354514" w:rsidR="00987BB3" w:rsidRDefault="00987BB3" w:rsidP="00987BB3">
      <w:pPr>
        <w:spacing w:before="100" w:beforeAutospacing="1" w:after="100" w:afterAutospacing="1"/>
        <w:rPr>
          <w:rFonts w:ascii="Arial" w:eastAsia="Calibri" w:hAnsi="Arial" w:cs="Arial"/>
          <w:sz w:val="24"/>
          <w:szCs w:val="24"/>
        </w:rPr>
      </w:pPr>
      <w:r w:rsidRPr="00987BB3">
        <w:rPr>
          <w:rFonts w:ascii="Arial" w:eastAsia="Calibri" w:hAnsi="Arial" w:cs="Arial"/>
          <w:sz w:val="24"/>
          <w:szCs w:val="24"/>
        </w:rPr>
        <w:t>In the light of those findings, the Court ordered the company or its directors to buy out the combined 45 per cent shareholding of B and his wife for a total of £20,853,000. B</w:t>
      </w:r>
      <w:r w:rsidR="007B40F7">
        <w:rPr>
          <w:rFonts w:ascii="Arial" w:eastAsia="Calibri" w:hAnsi="Arial" w:cs="Arial"/>
          <w:sz w:val="24"/>
          <w:szCs w:val="24"/>
        </w:rPr>
        <w:t>'</w:t>
      </w:r>
      <w:r w:rsidRPr="00987BB3">
        <w:rPr>
          <w:rFonts w:ascii="Arial" w:eastAsia="Calibri" w:hAnsi="Arial" w:cs="Arial"/>
          <w:sz w:val="24"/>
          <w:szCs w:val="24"/>
        </w:rPr>
        <w:t>s claim that he was pressured into selling his shares in a connected company at an undervalue was rejected.</w:t>
      </w:r>
    </w:p>
    <w:p w14:paraId="43033EC7" w14:textId="76039487" w:rsidR="007B40F7" w:rsidRPr="00987BB3" w:rsidRDefault="007B40F7" w:rsidP="00987BB3">
      <w:pPr>
        <w:spacing w:before="100" w:beforeAutospacing="1" w:after="100" w:afterAutospacing="1"/>
        <w:rPr>
          <w:rFonts w:ascii="Arial" w:eastAsia="Calibri" w:hAnsi="Arial" w:cs="Arial"/>
          <w:sz w:val="24"/>
          <w:szCs w:val="24"/>
        </w:rPr>
      </w:pPr>
      <w:r w:rsidRPr="007B40F7">
        <w:rPr>
          <w:rFonts w:ascii="Arial" w:eastAsia="Calibri" w:hAnsi="Arial" w:cs="Arial"/>
          <w:sz w:val="24"/>
          <w:szCs w:val="24"/>
        </w:rPr>
        <w:t>For advice on any aspect of company law, contact us.</w:t>
      </w:r>
    </w:p>
    <w:p w14:paraId="6555E719" w14:textId="77777777" w:rsidR="00987BB3" w:rsidRPr="00987BB3" w:rsidRDefault="00987BB3" w:rsidP="00987BB3">
      <w:pPr>
        <w:rPr>
          <w:rFonts w:ascii="Arial" w:eastAsia="Calibri" w:hAnsi="Arial" w:cs="Arial"/>
          <w:b/>
          <w:bCs/>
          <w:sz w:val="24"/>
          <w:szCs w:val="24"/>
        </w:rPr>
      </w:pPr>
      <w:r w:rsidRPr="00987BB3">
        <w:rPr>
          <w:rFonts w:ascii="Arial" w:eastAsia="Calibri" w:hAnsi="Arial" w:cs="Arial"/>
          <w:b/>
          <w:bCs/>
          <w:sz w:val="24"/>
          <w:szCs w:val="24"/>
        </w:rPr>
        <w:t>Partner Note</w:t>
      </w:r>
    </w:p>
    <w:p w14:paraId="2B8F97C7" w14:textId="16F695D9" w:rsidR="00987BB3" w:rsidRDefault="00987BB3" w:rsidP="00987BB3">
      <w:pPr>
        <w:rPr>
          <w:rFonts w:ascii="Arial" w:eastAsia="Calibri" w:hAnsi="Arial" w:cs="Arial"/>
          <w:sz w:val="24"/>
          <w:szCs w:val="24"/>
        </w:rPr>
      </w:pPr>
      <w:r w:rsidRPr="00987BB3">
        <w:rPr>
          <w:rFonts w:ascii="Arial" w:eastAsia="Calibri" w:hAnsi="Arial" w:cs="Arial"/>
          <w:sz w:val="24"/>
          <w:szCs w:val="24"/>
        </w:rPr>
        <w:t>Fewings and Another v Poulter and Others [2021] EWHC 2455 (Ch)</w:t>
      </w:r>
    </w:p>
    <w:p w14:paraId="0BBB6098" w14:textId="7FE38861" w:rsidR="007B40F7" w:rsidRDefault="007B40F7" w:rsidP="00711440">
      <w:pPr>
        <w:spacing w:before="100" w:beforeAutospacing="1" w:after="100" w:afterAutospacing="1"/>
        <w:rPr>
          <w:rFonts w:ascii="Arial" w:eastAsia="Times New Roman" w:hAnsi="Arial" w:cs="Arial"/>
          <w:sz w:val="28"/>
          <w:szCs w:val="28"/>
          <w:lang w:eastAsia="en-GB"/>
        </w:rPr>
      </w:pPr>
      <w:bookmarkStart w:id="11" w:name="_Hlk83814100"/>
      <w:r>
        <w:rPr>
          <w:rFonts w:ascii="Arial" w:eastAsia="Times New Roman" w:hAnsi="Arial" w:cs="Arial"/>
          <w:sz w:val="28"/>
          <w:szCs w:val="28"/>
          <w:lang w:eastAsia="en-GB"/>
        </w:rPr>
        <w:t>Com</w:t>
      </w:r>
      <w:bookmarkEnd w:id="11"/>
      <w:r>
        <w:rPr>
          <w:rFonts w:ascii="Arial" w:eastAsia="Times New Roman" w:hAnsi="Arial" w:cs="Arial"/>
          <w:sz w:val="28"/>
          <w:szCs w:val="28"/>
          <w:lang w:eastAsia="en-GB"/>
        </w:rPr>
        <w:t>petition</w:t>
      </w:r>
    </w:p>
    <w:p w14:paraId="444F26F4" w14:textId="742203B4" w:rsidR="007B40F7" w:rsidRPr="007B40F7" w:rsidRDefault="007B40F7" w:rsidP="007B40F7">
      <w:pPr>
        <w:spacing w:before="100" w:beforeAutospacing="1" w:after="100" w:afterAutospacing="1"/>
        <w:rPr>
          <w:rFonts w:ascii="Arial" w:eastAsia="Calibri" w:hAnsi="Arial" w:cs="Arial"/>
          <w:b/>
          <w:bCs/>
          <w:sz w:val="24"/>
          <w:szCs w:val="24"/>
        </w:rPr>
      </w:pPr>
      <w:r w:rsidRPr="007B40F7">
        <w:rPr>
          <w:rFonts w:ascii="Arial" w:eastAsia="Calibri" w:hAnsi="Arial" w:cs="Arial"/>
          <w:b/>
          <w:bCs/>
          <w:sz w:val="24"/>
          <w:szCs w:val="24"/>
        </w:rPr>
        <w:t>Wholesaler</w:t>
      </w:r>
      <w:r>
        <w:rPr>
          <w:rFonts w:ascii="Arial" w:eastAsia="Calibri" w:hAnsi="Arial" w:cs="Arial"/>
          <w:b/>
          <w:bCs/>
          <w:sz w:val="24"/>
          <w:szCs w:val="24"/>
        </w:rPr>
        <w:t>'</w:t>
      </w:r>
      <w:r w:rsidRPr="007B40F7">
        <w:rPr>
          <w:rFonts w:ascii="Arial" w:eastAsia="Calibri" w:hAnsi="Arial" w:cs="Arial"/>
          <w:b/>
          <w:bCs/>
          <w:sz w:val="24"/>
          <w:szCs w:val="24"/>
        </w:rPr>
        <w:t>s Competition Complaint Founders on Inadequately Pleaded Case</w:t>
      </w:r>
    </w:p>
    <w:p w14:paraId="2B964A17" w14:textId="77777777" w:rsidR="007B40F7" w:rsidRPr="007B40F7" w:rsidRDefault="007B40F7" w:rsidP="007B40F7">
      <w:pPr>
        <w:spacing w:before="100" w:beforeAutospacing="1" w:after="100" w:afterAutospacing="1"/>
        <w:rPr>
          <w:rFonts w:ascii="Arial" w:eastAsia="Calibri" w:hAnsi="Arial" w:cs="Arial"/>
          <w:sz w:val="24"/>
          <w:szCs w:val="24"/>
        </w:rPr>
      </w:pPr>
      <w:r w:rsidRPr="007B40F7">
        <w:rPr>
          <w:rFonts w:ascii="Arial" w:eastAsia="Calibri" w:hAnsi="Arial" w:cs="Arial"/>
          <w:sz w:val="24"/>
          <w:szCs w:val="24"/>
        </w:rPr>
        <w:t>The first rule of litigation is to plead your case in a sufficiently detailed, intelligible and logical manner, a task for which specialist lawyers undergo years of training. The fate of a case before the Competition Appeal Tribunal (CAT) underlined the consequences of failing to meet that basic requirement.</w:t>
      </w:r>
    </w:p>
    <w:p w14:paraId="3FA519F7" w14:textId="6CA4CA54" w:rsidR="007B40F7" w:rsidRPr="007B40F7" w:rsidRDefault="007B40F7" w:rsidP="007B40F7">
      <w:pPr>
        <w:spacing w:before="100" w:beforeAutospacing="1" w:after="100" w:afterAutospacing="1"/>
        <w:rPr>
          <w:rFonts w:ascii="Arial" w:eastAsia="Calibri" w:hAnsi="Arial" w:cs="Arial"/>
          <w:sz w:val="24"/>
          <w:szCs w:val="24"/>
        </w:rPr>
      </w:pPr>
      <w:r w:rsidRPr="007B40F7">
        <w:rPr>
          <w:rFonts w:ascii="Arial" w:eastAsia="Calibri" w:hAnsi="Arial" w:cs="Arial"/>
          <w:sz w:val="24"/>
          <w:szCs w:val="24"/>
        </w:rPr>
        <w:t>A food and drink wholesaler lodged a claim against one of its suppliers, asserting that it had lost substantial profits due to the latter</w:t>
      </w:r>
      <w:r>
        <w:rPr>
          <w:rFonts w:ascii="Arial" w:eastAsia="Calibri" w:hAnsi="Arial" w:cs="Arial"/>
          <w:sz w:val="24"/>
          <w:szCs w:val="24"/>
        </w:rPr>
        <w:t>'</w:t>
      </w:r>
      <w:r w:rsidRPr="007B40F7">
        <w:rPr>
          <w:rFonts w:ascii="Arial" w:eastAsia="Calibri" w:hAnsi="Arial" w:cs="Arial"/>
          <w:sz w:val="24"/>
          <w:szCs w:val="24"/>
        </w:rPr>
        <w:t>s abuse of its dominant position in the relevant market, contrary to Section 18 of the Competition Act 1998. It sought more than £11.6 million in damages, plus exemplary damages and interest.</w:t>
      </w:r>
    </w:p>
    <w:p w14:paraId="3BE1E8C1" w14:textId="77777777" w:rsidR="007B40F7" w:rsidRPr="007B40F7" w:rsidRDefault="007B40F7" w:rsidP="007B40F7">
      <w:pPr>
        <w:spacing w:before="100" w:beforeAutospacing="1" w:after="100" w:afterAutospacing="1"/>
        <w:rPr>
          <w:rFonts w:ascii="Arial" w:eastAsia="Calibri" w:hAnsi="Arial" w:cs="Arial"/>
          <w:sz w:val="24"/>
          <w:szCs w:val="24"/>
        </w:rPr>
      </w:pPr>
      <w:r w:rsidRPr="007B40F7">
        <w:rPr>
          <w:rFonts w:ascii="Arial" w:eastAsia="Calibri" w:hAnsi="Arial" w:cs="Arial"/>
          <w:sz w:val="24"/>
          <w:szCs w:val="24"/>
        </w:rPr>
        <w:lastRenderedPageBreak/>
        <w:t>The supplier, however, complained that the allegations pleaded by the wholesaler in its particulars of claim were so vague and unclear that it was impossible to discern the specific conduct complained of, how it was said to have infringed competition law or how any such alleged infringement had caused loss to the wholesaler.</w:t>
      </w:r>
    </w:p>
    <w:p w14:paraId="64AB0DA7" w14:textId="712A23AB" w:rsidR="007B40F7" w:rsidRPr="007B40F7" w:rsidRDefault="007B40F7" w:rsidP="007B40F7">
      <w:pPr>
        <w:spacing w:before="100" w:beforeAutospacing="1" w:after="100" w:afterAutospacing="1"/>
        <w:rPr>
          <w:rFonts w:ascii="Arial" w:eastAsia="Calibri" w:hAnsi="Arial" w:cs="Arial"/>
          <w:sz w:val="24"/>
          <w:szCs w:val="24"/>
        </w:rPr>
      </w:pPr>
      <w:r w:rsidRPr="007B40F7">
        <w:rPr>
          <w:rFonts w:ascii="Arial" w:eastAsia="Calibri" w:hAnsi="Arial" w:cs="Arial"/>
          <w:sz w:val="24"/>
          <w:szCs w:val="24"/>
        </w:rPr>
        <w:t>In striking out the entirety of the wholesaler</w:t>
      </w:r>
      <w:r>
        <w:rPr>
          <w:rFonts w:ascii="Arial" w:eastAsia="Calibri" w:hAnsi="Arial" w:cs="Arial"/>
          <w:sz w:val="24"/>
          <w:szCs w:val="24"/>
        </w:rPr>
        <w:t>'</w:t>
      </w:r>
      <w:r w:rsidRPr="007B40F7">
        <w:rPr>
          <w:rFonts w:ascii="Arial" w:eastAsia="Calibri" w:hAnsi="Arial" w:cs="Arial"/>
          <w:sz w:val="24"/>
          <w:szCs w:val="24"/>
        </w:rPr>
        <w:t xml:space="preserve">s claim, the CAT noted that the critical importance of properly particularising competition law claims had been repeatedly emphasised in other cases. There were manifest and serious deficiencies in the way the claim had been </w:t>
      </w:r>
      <w:proofErr w:type="gramStart"/>
      <w:r w:rsidRPr="007B40F7">
        <w:rPr>
          <w:rFonts w:ascii="Arial" w:eastAsia="Calibri" w:hAnsi="Arial" w:cs="Arial"/>
          <w:sz w:val="24"/>
          <w:szCs w:val="24"/>
        </w:rPr>
        <w:t>advanced</w:t>
      </w:r>
      <w:proofErr w:type="gramEnd"/>
      <w:r w:rsidRPr="007B40F7">
        <w:rPr>
          <w:rFonts w:ascii="Arial" w:eastAsia="Calibri" w:hAnsi="Arial" w:cs="Arial"/>
          <w:sz w:val="24"/>
          <w:szCs w:val="24"/>
        </w:rPr>
        <w:t xml:space="preserve"> and no attempt had been made to amend the particulars of the claim so as to set out a coherent or intelligible case.</w:t>
      </w:r>
    </w:p>
    <w:p w14:paraId="11379BD5" w14:textId="0265ED6B" w:rsidR="007B40F7" w:rsidRDefault="007B40F7" w:rsidP="007B40F7">
      <w:pPr>
        <w:spacing w:before="100" w:beforeAutospacing="1" w:after="100" w:afterAutospacing="1"/>
        <w:rPr>
          <w:rFonts w:ascii="Arial" w:eastAsia="Calibri" w:hAnsi="Arial" w:cs="Arial"/>
          <w:sz w:val="24"/>
          <w:szCs w:val="24"/>
        </w:rPr>
      </w:pPr>
      <w:proofErr w:type="gramStart"/>
      <w:r w:rsidRPr="007B40F7">
        <w:rPr>
          <w:rFonts w:ascii="Arial" w:eastAsia="Calibri" w:hAnsi="Arial" w:cs="Arial"/>
          <w:sz w:val="24"/>
          <w:szCs w:val="24"/>
        </w:rPr>
        <w:t>On the basis of</w:t>
      </w:r>
      <w:proofErr w:type="gramEnd"/>
      <w:r w:rsidRPr="007B40F7">
        <w:rPr>
          <w:rFonts w:ascii="Arial" w:eastAsia="Calibri" w:hAnsi="Arial" w:cs="Arial"/>
          <w:sz w:val="24"/>
          <w:szCs w:val="24"/>
        </w:rPr>
        <w:t xml:space="preserve"> the wholesaler</w:t>
      </w:r>
      <w:r>
        <w:rPr>
          <w:rFonts w:ascii="Arial" w:eastAsia="Calibri" w:hAnsi="Arial" w:cs="Arial"/>
          <w:sz w:val="24"/>
          <w:szCs w:val="24"/>
        </w:rPr>
        <w:t>'</w:t>
      </w:r>
      <w:r w:rsidRPr="007B40F7">
        <w:rPr>
          <w:rFonts w:ascii="Arial" w:eastAsia="Calibri" w:hAnsi="Arial" w:cs="Arial"/>
          <w:sz w:val="24"/>
          <w:szCs w:val="24"/>
        </w:rPr>
        <w:t>s pleaded case, there was no reasonable basis for its claim nor any real prospect that it would succeed. If the wholesaler did in fact have a case that merited an answer, it had not been made either to the supplier or the CAT.</w:t>
      </w:r>
    </w:p>
    <w:p w14:paraId="1B51C46A" w14:textId="05599D81" w:rsidR="007B40F7" w:rsidRPr="007B40F7" w:rsidRDefault="007B40F7" w:rsidP="007B40F7">
      <w:pPr>
        <w:spacing w:before="100" w:beforeAutospacing="1" w:after="100" w:afterAutospacing="1"/>
        <w:rPr>
          <w:rFonts w:ascii="Arial" w:eastAsia="Calibri" w:hAnsi="Arial" w:cs="Arial"/>
          <w:sz w:val="24"/>
          <w:szCs w:val="24"/>
        </w:rPr>
      </w:pPr>
      <w:r>
        <w:rPr>
          <w:rFonts w:ascii="Arial" w:eastAsia="Calibri" w:hAnsi="Arial" w:cs="Arial"/>
          <w:sz w:val="24"/>
          <w:szCs w:val="24"/>
        </w:rPr>
        <w:t xml:space="preserve">Competition law is complex and should be </w:t>
      </w:r>
      <w:r w:rsidR="00CA6E6C">
        <w:rPr>
          <w:rFonts w:ascii="Arial" w:eastAsia="Calibri" w:hAnsi="Arial" w:cs="Arial"/>
          <w:sz w:val="24"/>
          <w:szCs w:val="24"/>
        </w:rPr>
        <w:t>dealt with by professionals. Our specialist lawyers can provide you with advice and guidance on making a claim.</w:t>
      </w:r>
    </w:p>
    <w:p w14:paraId="1D61FDE4" w14:textId="77777777" w:rsidR="007B40F7" w:rsidRPr="007B40F7" w:rsidRDefault="007B40F7" w:rsidP="007B40F7">
      <w:pPr>
        <w:rPr>
          <w:rFonts w:ascii="Arial" w:eastAsia="Calibri" w:hAnsi="Arial" w:cs="Arial"/>
          <w:b/>
          <w:bCs/>
          <w:sz w:val="24"/>
          <w:szCs w:val="24"/>
        </w:rPr>
      </w:pPr>
      <w:r w:rsidRPr="007B40F7">
        <w:rPr>
          <w:rFonts w:ascii="Arial" w:eastAsia="Calibri" w:hAnsi="Arial" w:cs="Arial"/>
          <w:b/>
          <w:bCs/>
          <w:sz w:val="24"/>
          <w:szCs w:val="24"/>
        </w:rPr>
        <w:t>Partner Note</w:t>
      </w:r>
    </w:p>
    <w:p w14:paraId="5355E08E" w14:textId="2A41C2BF" w:rsidR="007B40F7" w:rsidRPr="007B40F7" w:rsidRDefault="007B40F7" w:rsidP="007B40F7">
      <w:pPr>
        <w:rPr>
          <w:rFonts w:ascii="Arial" w:eastAsia="Calibri" w:hAnsi="Arial" w:cs="Arial"/>
          <w:sz w:val="24"/>
          <w:szCs w:val="24"/>
        </w:rPr>
      </w:pPr>
      <w:r w:rsidRPr="007B40F7">
        <w:rPr>
          <w:rFonts w:ascii="Arial" w:eastAsia="Calibri" w:hAnsi="Arial" w:cs="Arial"/>
          <w:sz w:val="24"/>
          <w:szCs w:val="24"/>
        </w:rPr>
        <w:t>Forrest Fresh Foods Ltd v Coca-Cola European Partners Great Britain L</w:t>
      </w:r>
      <w:r w:rsidR="00CA6E6C">
        <w:rPr>
          <w:rFonts w:ascii="Arial" w:eastAsia="Calibri" w:hAnsi="Arial" w:cs="Arial"/>
          <w:sz w:val="24"/>
          <w:szCs w:val="24"/>
        </w:rPr>
        <w:t>t</w:t>
      </w:r>
      <w:r w:rsidRPr="007B40F7">
        <w:rPr>
          <w:rFonts w:ascii="Arial" w:eastAsia="Calibri" w:hAnsi="Arial" w:cs="Arial"/>
          <w:sz w:val="24"/>
          <w:szCs w:val="24"/>
        </w:rPr>
        <w:t>d</w:t>
      </w:r>
      <w:r w:rsidR="00CA6E6C">
        <w:rPr>
          <w:rFonts w:ascii="Arial" w:eastAsia="Calibri" w:hAnsi="Arial" w:cs="Arial"/>
          <w:sz w:val="24"/>
          <w:szCs w:val="24"/>
        </w:rPr>
        <w:t xml:space="preserve"> </w:t>
      </w:r>
      <w:r w:rsidR="00CA6E6C" w:rsidRPr="00CA6E6C">
        <w:rPr>
          <w:rFonts w:ascii="Arial" w:eastAsia="Calibri" w:hAnsi="Arial" w:cs="Arial"/>
          <w:sz w:val="24"/>
          <w:szCs w:val="24"/>
        </w:rPr>
        <w:t>[2021] CAT 29</w:t>
      </w:r>
    </w:p>
    <w:p w14:paraId="071BE15E" w14:textId="66A43B29" w:rsidR="008B0DCF" w:rsidRDefault="000B1D5C" w:rsidP="003E5E87">
      <w:pPr>
        <w:spacing w:before="100" w:beforeAutospacing="1" w:after="100" w:afterAutospacing="1"/>
        <w:rPr>
          <w:rFonts w:ascii="Arial" w:hAnsi="Arial" w:cs="Arial"/>
          <w:sz w:val="28"/>
          <w:szCs w:val="28"/>
        </w:rPr>
      </w:pPr>
      <w:bookmarkStart w:id="12" w:name="_Hlk25826245"/>
      <w:bookmarkStart w:id="13" w:name="_Hlk31198806"/>
      <w:bookmarkStart w:id="14" w:name="_Hlk38963997"/>
      <w:bookmarkEnd w:id="9"/>
      <w:r w:rsidRPr="00252D58">
        <w:rPr>
          <w:rFonts w:ascii="Arial" w:hAnsi="Arial" w:cs="Arial"/>
          <w:sz w:val="28"/>
          <w:szCs w:val="28"/>
        </w:rPr>
        <w:t>Co</w:t>
      </w:r>
      <w:bookmarkEnd w:id="12"/>
      <w:bookmarkEnd w:id="13"/>
      <w:bookmarkEnd w:id="14"/>
      <w:r w:rsidRPr="00252D58">
        <w:rPr>
          <w:rFonts w:ascii="Arial" w:hAnsi="Arial" w:cs="Arial"/>
          <w:sz w:val="28"/>
          <w:szCs w:val="28"/>
        </w:rPr>
        <w:t>ntract</w:t>
      </w:r>
    </w:p>
    <w:p w14:paraId="39529625" w14:textId="5E24DB4A" w:rsidR="0075419D" w:rsidRPr="0075419D" w:rsidRDefault="0075419D" w:rsidP="0075419D">
      <w:pPr>
        <w:spacing w:before="100" w:beforeAutospacing="1" w:after="100" w:afterAutospacing="1"/>
        <w:rPr>
          <w:rFonts w:ascii="Arial" w:eastAsia="Calibri" w:hAnsi="Arial" w:cs="Arial"/>
          <w:b/>
          <w:bCs/>
          <w:sz w:val="24"/>
          <w:szCs w:val="24"/>
        </w:rPr>
      </w:pPr>
      <w:r w:rsidRPr="0075419D">
        <w:rPr>
          <w:rFonts w:ascii="Arial" w:eastAsia="Calibri" w:hAnsi="Arial" w:cs="Arial"/>
          <w:b/>
          <w:bCs/>
          <w:sz w:val="24"/>
          <w:szCs w:val="24"/>
        </w:rPr>
        <w:t xml:space="preserve">Commercial Negotiations – Talk is Cheap </w:t>
      </w:r>
      <w:proofErr w:type="gramStart"/>
      <w:r w:rsidR="007B40F7">
        <w:rPr>
          <w:rFonts w:ascii="Arial" w:eastAsia="Calibri" w:hAnsi="Arial" w:cs="Arial"/>
          <w:b/>
          <w:bCs/>
          <w:sz w:val="24"/>
          <w:szCs w:val="24"/>
        </w:rPr>
        <w:t>B</w:t>
      </w:r>
      <w:r w:rsidRPr="0075419D">
        <w:rPr>
          <w:rFonts w:ascii="Arial" w:eastAsia="Calibri" w:hAnsi="Arial" w:cs="Arial"/>
          <w:b/>
          <w:bCs/>
          <w:sz w:val="24"/>
          <w:szCs w:val="24"/>
        </w:rPr>
        <w:t>ut</w:t>
      </w:r>
      <w:proofErr w:type="gramEnd"/>
      <w:r w:rsidRPr="0075419D">
        <w:rPr>
          <w:rFonts w:ascii="Arial" w:eastAsia="Calibri" w:hAnsi="Arial" w:cs="Arial"/>
          <w:b/>
          <w:bCs/>
          <w:sz w:val="24"/>
          <w:szCs w:val="24"/>
        </w:rPr>
        <w:t xml:space="preserve"> Writing is Binding</w:t>
      </w:r>
    </w:p>
    <w:p w14:paraId="3056D605" w14:textId="77777777" w:rsidR="0075419D" w:rsidRPr="0075419D" w:rsidRDefault="0075419D" w:rsidP="0075419D">
      <w:pPr>
        <w:spacing w:before="100" w:beforeAutospacing="1" w:after="100" w:afterAutospacing="1"/>
        <w:rPr>
          <w:rFonts w:ascii="Arial" w:eastAsia="Calibri" w:hAnsi="Arial" w:cs="Arial"/>
          <w:sz w:val="24"/>
          <w:szCs w:val="24"/>
        </w:rPr>
      </w:pPr>
      <w:r w:rsidRPr="0075419D">
        <w:rPr>
          <w:rFonts w:ascii="Arial" w:eastAsia="Calibri" w:hAnsi="Arial" w:cs="Arial"/>
          <w:sz w:val="24"/>
          <w:szCs w:val="24"/>
        </w:rPr>
        <w:t xml:space="preserve">Commercial negotiations often involve many meetings and any amount of talk, but the question of whether anything has </w:t>
      </w:r>
      <w:proofErr w:type="gramStart"/>
      <w:r w:rsidRPr="0075419D">
        <w:rPr>
          <w:rFonts w:ascii="Arial" w:eastAsia="Calibri" w:hAnsi="Arial" w:cs="Arial"/>
          <w:sz w:val="24"/>
          <w:szCs w:val="24"/>
        </w:rPr>
        <w:t>actually been</w:t>
      </w:r>
      <w:proofErr w:type="gramEnd"/>
      <w:r w:rsidRPr="0075419D">
        <w:rPr>
          <w:rFonts w:ascii="Arial" w:eastAsia="Calibri" w:hAnsi="Arial" w:cs="Arial"/>
          <w:sz w:val="24"/>
          <w:szCs w:val="24"/>
        </w:rPr>
        <w:t xml:space="preserve"> agreed is a common source of dispute. As a High Court case showed, the only real way to avoid such discord is to engage a solicitor to record agreements formally, in writing.</w:t>
      </w:r>
    </w:p>
    <w:p w14:paraId="0E5D49B9" w14:textId="59A31802" w:rsidR="0075419D" w:rsidRPr="0075419D" w:rsidRDefault="0075419D" w:rsidP="0075419D">
      <w:pPr>
        <w:spacing w:before="100" w:beforeAutospacing="1" w:after="100" w:afterAutospacing="1"/>
        <w:rPr>
          <w:rFonts w:ascii="Arial" w:eastAsia="Calibri" w:hAnsi="Arial" w:cs="Arial"/>
          <w:sz w:val="24"/>
          <w:szCs w:val="24"/>
        </w:rPr>
      </w:pPr>
      <w:r w:rsidRPr="0075419D">
        <w:rPr>
          <w:rFonts w:ascii="Arial" w:eastAsia="Calibri" w:hAnsi="Arial" w:cs="Arial"/>
          <w:sz w:val="24"/>
          <w:szCs w:val="24"/>
        </w:rPr>
        <w:t xml:space="preserve">The case concerned a businessman who, via his corporate vehicle, was instrumental in arranging a lucrative contract by which a club engaged the services of a mutual management company for four years. He launched proceedings after the company denied that he was entitled to an introduction fee or any other form of remuneration for the contribution he </w:t>
      </w:r>
      <w:r w:rsidR="002B75F6">
        <w:rPr>
          <w:rFonts w:ascii="Arial" w:eastAsia="Calibri" w:hAnsi="Arial" w:cs="Arial"/>
          <w:sz w:val="24"/>
          <w:szCs w:val="24"/>
        </w:rPr>
        <w:t xml:space="preserve">had </w:t>
      </w:r>
      <w:r w:rsidRPr="0075419D">
        <w:rPr>
          <w:rFonts w:ascii="Arial" w:eastAsia="Calibri" w:hAnsi="Arial" w:cs="Arial"/>
          <w:sz w:val="24"/>
          <w:szCs w:val="24"/>
        </w:rPr>
        <w:t>made to achieving the deal.</w:t>
      </w:r>
    </w:p>
    <w:p w14:paraId="2BE1F1C2" w14:textId="7D3EA9AF" w:rsidR="0075419D" w:rsidRPr="0075419D" w:rsidRDefault="0075419D" w:rsidP="0075419D">
      <w:pPr>
        <w:spacing w:before="100" w:beforeAutospacing="1" w:after="100" w:afterAutospacing="1"/>
        <w:rPr>
          <w:rFonts w:ascii="Arial" w:eastAsia="Calibri" w:hAnsi="Arial" w:cs="Arial"/>
          <w:sz w:val="24"/>
          <w:szCs w:val="24"/>
        </w:rPr>
      </w:pPr>
      <w:r w:rsidRPr="0075419D">
        <w:rPr>
          <w:rFonts w:ascii="Arial" w:eastAsia="Calibri" w:hAnsi="Arial" w:cs="Arial"/>
          <w:sz w:val="24"/>
          <w:szCs w:val="24"/>
        </w:rPr>
        <w:t>Ruling on the matter, the Court noted that there was no dispute that the deal was the businessman</w:t>
      </w:r>
      <w:r w:rsidR="007B40F7">
        <w:rPr>
          <w:rFonts w:ascii="Arial" w:eastAsia="Calibri" w:hAnsi="Arial" w:cs="Arial"/>
          <w:sz w:val="24"/>
          <w:szCs w:val="24"/>
        </w:rPr>
        <w:t>'</w:t>
      </w:r>
      <w:r w:rsidRPr="0075419D">
        <w:rPr>
          <w:rFonts w:ascii="Arial" w:eastAsia="Calibri" w:hAnsi="Arial" w:cs="Arial"/>
          <w:sz w:val="24"/>
          <w:szCs w:val="24"/>
        </w:rPr>
        <w:t>s brainchild and that it was he who affected the introduction between the two willing parties to the contract. He was a highly necessary and active participant and had been involved in the negotiations throughout.</w:t>
      </w:r>
    </w:p>
    <w:p w14:paraId="1604781F" w14:textId="782BE8D1" w:rsidR="0075419D" w:rsidRPr="0075419D" w:rsidRDefault="0075419D" w:rsidP="0075419D">
      <w:pPr>
        <w:spacing w:before="100" w:beforeAutospacing="1" w:after="100" w:afterAutospacing="1"/>
        <w:rPr>
          <w:rFonts w:ascii="Arial" w:eastAsia="Calibri" w:hAnsi="Arial" w:cs="Arial"/>
          <w:sz w:val="24"/>
          <w:szCs w:val="24"/>
        </w:rPr>
      </w:pPr>
      <w:r w:rsidRPr="0075419D">
        <w:rPr>
          <w:rFonts w:ascii="Arial" w:eastAsia="Calibri" w:hAnsi="Arial" w:cs="Arial"/>
          <w:sz w:val="24"/>
          <w:szCs w:val="24"/>
        </w:rPr>
        <w:t>The company</w:t>
      </w:r>
      <w:r w:rsidR="007B40F7">
        <w:rPr>
          <w:rFonts w:ascii="Arial" w:eastAsia="Calibri" w:hAnsi="Arial" w:cs="Arial"/>
          <w:sz w:val="24"/>
          <w:szCs w:val="24"/>
        </w:rPr>
        <w:t>'</w:t>
      </w:r>
      <w:r w:rsidRPr="0075419D">
        <w:rPr>
          <w:rFonts w:ascii="Arial" w:eastAsia="Calibri" w:hAnsi="Arial" w:cs="Arial"/>
          <w:sz w:val="24"/>
          <w:szCs w:val="24"/>
        </w:rPr>
        <w:t>s policy, however, was never to pay referral or introduction fees. There had been some discussion of the issue, but the company never expressly agreed, either orally or in writing, to pay the businessman an introduction fee, still less the basis on which such a fee would be calculated.</w:t>
      </w:r>
    </w:p>
    <w:p w14:paraId="4480EC2B" w14:textId="6994A71E" w:rsidR="0075419D" w:rsidRPr="0075419D" w:rsidRDefault="0075419D" w:rsidP="0075419D">
      <w:pPr>
        <w:spacing w:before="100" w:beforeAutospacing="1" w:after="100" w:afterAutospacing="1"/>
        <w:rPr>
          <w:rFonts w:ascii="Arial" w:eastAsia="Calibri" w:hAnsi="Arial" w:cs="Arial"/>
          <w:sz w:val="24"/>
          <w:szCs w:val="24"/>
        </w:rPr>
      </w:pPr>
      <w:r w:rsidRPr="0075419D">
        <w:rPr>
          <w:rFonts w:ascii="Arial" w:eastAsia="Calibri" w:hAnsi="Arial" w:cs="Arial"/>
          <w:sz w:val="24"/>
          <w:szCs w:val="24"/>
        </w:rPr>
        <w:t>In upholding the businessman</w:t>
      </w:r>
      <w:r w:rsidR="007B40F7">
        <w:rPr>
          <w:rFonts w:ascii="Arial" w:eastAsia="Calibri" w:hAnsi="Arial" w:cs="Arial"/>
          <w:sz w:val="24"/>
          <w:szCs w:val="24"/>
        </w:rPr>
        <w:t>'</w:t>
      </w:r>
      <w:r w:rsidRPr="0075419D">
        <w:rPr>
          <w:rFonts w:ascii="Arial" w:eastAsia="Calibri" w:hAnsi="Arial" w:cs="Arial"/>
          <w:sz w:val="24"/>
          <w:szCs w:val="24"/>
        </w:rPr>
        <w:t xml:space="preserve">s claim, however, the Court found that it must have been obvious to the company that he was not acting simply from the goodness of his heart. There was a common understanding that he would receive some financial </w:t>
      </w:r>
      <w:r w:rsidRPr="0075419D">
        <w:rPr>
          <w:rFonts w:ascii="Arial" w:eastAsia="Calibri" w:hAnsi="Arial" w:cs="Arial"/>
          <w:sz w:val="24"/>
          <w:szCs w:val="24"/>
        </w:rPr>
        <w:lastRenderedPageBreak/>
        <w:t>reward if the negotiations bore fruit. There was a sufficient meeting of minds to impose a contractual obligation on the company to pay him a reasonable fee.</w:t>
      </w:r>
    </w:p>
    <w:p w14:paraId="20F0FC39" w14:textId="60DCFAF6" w:rsidR="0075419D" w:rsidRDefault="0075419D" w:rsidP="0075419D">
      <w:pPr>
        <w:spacing w:before="100" w:beforeAutospacing="1" w:after="100" w:afterAutospacing="1"/>
        <w:rPr>
          <w:rFonts w:ascii="Arial" w:eastAsia="Calibri" w:hAnsi="Arial" w:cs="Arial"/>
          <w:sz w:val="24"/>
          <w:szCs w:val="24"/>
        </w:rPr>
      </w:pPr>
      <w:r w:rsidRPr="0075419D">
        <w:rPr>
          <w:rFonts w:ascii="Arial" w:eastAsia="Calibri" w:hAnsi="Arial" w:cs="Arial"/>
          <w:sz w:val="24"/>
          <w:szCs w:val="24"/>
        </w:rPr>
        <w:t>Given the extent of his contribution to the successful deal, failing to afford him any financial reward would be unjust. If he were denied a fee, the company, which had garnered a handsome profit from the contract, would be unjustly enriched. The businessman</w:t>
      </w:r>
      <w:r w:rsidR="007B40F7">
        <w:rPr>
          <w:rFonts w:ascii="Arial" w:eastAsia="Calibri" w:hAnsi="Arial" w:cs="Arial"/>
          <w:sz w:val="24"/>
          <w:szCs w:val="24"/>
        </w:rPr>
        <w:t>'</w:t>
      </w:r>
      <w:r w:rsidRPr="0075419D">
        <w:rPr>
          <w:rFonts w:ascii="Arial" w:eastAsia="Calibri" w:hAnsi="Arial" w:cs="Arial"/>
          <w:sz w:val="24"/>
          <w:szCs w:val="24"/>
        </w:rPr>
        <w:t>s corporate vehicle was awarded £212,294, that sum representing 10 per cent of the profit the company had made on the deal. It was also entitled to a 10 per cent share of future relevant profits.</w:t>
      </w:r>
    </w:p>
    <w:p w14:paraId="19BB653E" w14:textId="77777777" w:rsidR="0075419D" w:rsidRPr="00B17AE9" w:rsidRDefault="0075419D" w:rsidP="0075419D">
      <w:pPr>
        <w:spacing w:before="100" w:beforeAutospacing="1" w:after="100" w:afterAutospacing="1"/>
        <w:rPr>
          <w:rFonts w:ascii="Arial" w:eastAsia="Calibri" w:hAnsi="Arial" w:cs="Arial"/>
          <w:sz w:val="24"/>
          <w:szCs w:val="24"/>
        </w:rPr>
      </w:pPr>
      <w:r w:rsidRPr="00B17AE9">
        <w:rPr>
          <w:rFonts w:ascii="Arial" w:eastAsia="Calibri" w:hAnsi="Arial" w:cs="Arial"/>
          <w:sz w:val="24"/>
          <w:szCs w:val="24"/>
        </w:rPr>
        <w:t>For advice on any contractual matter, please contact</w:t>
      </w:r>
      <w:r w:rsidRPr="002D759A">
        <w:rPr>
          <w:rFonts w:ascii="Arial" w:eastAsia="Calibri" w:hAnsi="Arial" w:cs="Arial"/>
          <w:sz w:val="24"/>
          <w:szCs w:val="24"/>
        </w:rPr>
        <w:t xml:space="preserve"> </w:t>
      </w:r>
      <w:r w:rsidRPr="0016046E">
        <w:rPr>
          <w:rFonts w:ascii="Arial" w:eastAsia="Calibri" w:hAnsi="Arial" w:cs="Arial"/>
          <w:color w:val="FF0000"/>
          <w:sz w:val="24"/>
          <w:szCs w:val="24"/>
        </w:rPr>
        <w:t>&lt;&lt;CONTACT DETAILS&gt;&gt;</w:t>
      </w:r>
      <w:r w:rsidRPr="00B17AE9">
        <w:rPr>
          <w:rFonts w:ascii="Arial" w:eastAsia="Calibri" w:hAnsi="Arial" w:cs="Arial"/>
          <w:sz w:val="24"/>
          <w:szCs w:val="24"/>
        </w:rPr>
        <w:t>.</w:t>
      </w:r>
    </w:p>
    <w:p w14:paraId="5808DEF0" w14:textId="77777777" w:rsidR="0075419D" w:rsidRPr="0075419D" w:rsidRDefault="0075419D" w:rsidP="0075419D">
      <w:pPr>
        <w:rPr>
          <w:rFonts w:ascii="Arial" w:eastAsia="Calibri" w:hAnsi="Arial" w:cs="Arial"/>
          <w:b/>
          <w:bCs/>
          <w:sz w:val="24"/>
          <w:szCs w:val="24"/>
        </w:rPr>
      </w:pPr>
      <w:r w:rsidRPr="0075419D">
        <w:rPr>
          <w:rFonts w:ascii="Arial" w:eastAsia="Calibri" w:hAnsi="Arial" w:cs="Arial"/>
          <w:b/>
          <w:bCs/>
          <w:sz w:val="24"/>
          <w:szCs w:val="24"/>
        </w:rPr>
        <w:t>Partner Note</w:t>
      </w:r>
    </w:p>
    <w:p w14:paraId="675D7AEC" w14:textId="4707EACE" w:rsidR="0075419D" w:rsidRDefault="0075419D" w:rsidP="0075419D">
      <w:pPr>
        <w:rPr>
          <w:rFonts w:ascii="Arial" w:eastAsia="Calibri" w:hAnsi="Arial" w:cs="Arial"/>
          <w:sz w:val="24"/>
          <w:szCs w:val="24"/>
        </w:rPr>
      </w:pPr>
      <w:r w:rsidRPr="0075419D">
        <w:rPr>
          <w:rFonts w:ascii="Arial" w:eastAsia="Calibri" w:hAnsi="Arial" w:cs="Arial"/>
          <w:sz w:val="24"/>
          <w:szCs w:val="24"/>
        </w:rPr>
        <w:t>Premia Marketing Ltd v Regis Mutual Management Ltd [2021] EWHC 2329 (QB)</w:t>
      </w:r>
    </w:p>
    <w:p w14:paraId="20698C18" w14:textId="1E8F848E" w:rsidR="007B40F7" w:rsidRDefault="007B40F7" w:rsidP="00711440">
      <w:pPr>
        <w:spacing w:before="100" w:beforeAutospacing="1" w:after="100" w:afterAutospacing="1"/>
        <w:rPr>
          <w:rFonts w:ascii="Arial" w:eastAsia="Times New Roman" w:hAnsi="Arial" w:cs="Arial"/>
          <w:sz w:val="28"/>
          <w:szCs w:val="28"/>
          <w:lang w:eastAsia="en-GB"/>
        </w:rPr>
      </w:pPr>
      <w:r>
        <w:rPr>
          <w:rFonts w:ascii="Arial" w:eastAsia="Times New Roman" w:hAnsi="Arial" w:cs="Arial"/>
          <w:sz w:val="28"/>
          <w:szCs w:val="28"/>
          <w:lang w:eastAsia="en-GB"/>
        </w:rPr>
        <w:t>Data Protection</w:t>
      </w:r>
    </w:p>
    <w:p w14:paraId="1FEAEB5B" w14:textId="77777777" w:rsidR="007B40F7" w:rsidRPr="007B40F7" w:rsidRDefault="007B40F7" w:rsidP="007B40F7">
      <w:pPr>
        <w:spacing w:before="100" w:beforeAutospacing="1" w:after="100" w:afterAutospacing="1"/>
        <w:rPr>
          <w:rFonts w:ascii="Arial" w:eastAsia="Calibri" w:hAnsi="Arial" w:cs="Arial"/>
          <w:b/>
          <w:bCs/>
          <w:sz w:val="24"/>
          <w:szCs w:val="24"/>
        </w:rPr>
      </w:pPr>
      <w:r w:rsidRPr="007B40F7">
        <w:rPr>
          <w:rFonts w:ascii="Arial" w:eastAsia="Calibri" w:hAnsi="Arial" w:cs="Arial"/>
          <w:b/>
          <w:bCs/>
          <w:sz w:val="24"/>
          <w:szCs w:val="24"/>
        </w:rPr>
        <w:t>Claims Manager Behind Unsolicited Marketing Calls Hit Hard in the Pocket</w:t>
      </w:r>
    </w:p>
    <w:p w14:paraId="1253CF50" w14:textId="1894A156" w:rsidR="007B40F7" w:rsidRPr="007B40F7" w:rsidRDefault="007B40F7" w:rsidP="007B40F7">
      <w:pPr>
        <w:spacing w:before="100" w:beforeAutospacing="1" w:after="100" w:afterAutospacing="1"/>
        <w:rPr>
          <w:rFonts w:ascii="Arial" w:eastAsia="Calibri" w:hAnsi="Arial" w:cs="Arial"/>
          <w:sz w:val="24"/>
          <w:szCs w:val="24"/>
        </w:rPr>
      </w:pPr>
      <w:r w:rsidRPr="007B40F7">
        <w:rPr>
          <w:rFonts w:ascii="Arial" w:eastAsia="Calibri" w:hAnsi="Arial" w:cs="Arial"/>
          <w:sz w:val="24"/>
          <w:szCs w:val="24"/>
        </w:rPr>
        <w:t>When it comes to combating the modern scourge of unsolicited direct marketing calls, the law is not resting on its laurels. In one case, a claims management company that was responsible for millions of such calls received a six-figure financial penalty.</w:t>
      </w:r>
    </w:p>
    <w:p w14:paraId="3444EDF4" w14:textId="07FE9931" w:rsidR="007B40F7" w:rsidRPr="007B40F7" w:rsidRDefault="007B40F7" w:rsidP="007B40F7">
      <w:pPr>
        <w:spacing w:before="100" w:beforeAutospacing="1" w:after="100" w:afterAutospacing="1"/>
        <w:rPr>
          <w:rFonts w:ascii="Arial" w:eastAsia="Calibri" w:hAnsi="Arial" w:cs="Arial"/>
          <w:sz w:val="24"/>
          <w:szCs w:val="24"/>
        </w:rPr>
      </w:pPr>
      <w:r w:rsidRPr="007B40F7">
        <w:rPr>
          <w:rFonts w:ascii="Arial" w:eastAsia="Calibri" w:hAnsi="Arial" w:cs="Arial"/>
          <w:sz w:val="24"/>
          <w:szCs w:val="24"/>
        </w:rPr>
        <w:t>Following an investigation, the Information Commissioner</w:t>
      </w:r>
      <w:r>
        <w:rPr>
          <w:rFonts w:ascii="Arial" w:eastAsia="Calibri" w:hAnsi="Arial" w:cs="Arial"/>
          <w:sz w:val="24"/>
          <w:szCs w:val="24"/>
        </w:rPr>
        <w:t>'</w:t>
      </w:r>
      <w:r w:rsidRPr="007B40F7">
        <w:rPr>
          <w:rFonts w:ascii="Arial" w:eastAsia="Calibri" w:hAnsi="Arial" w:cs="Arial"/>
          <w:sz w:val="24"/>
          <w:szCs w:val="24"/>
        </w:rPr>
        <w:t>s Office (ICO) found that the company was responsible for 11,489,873 unsolicited direct marketing calls over a six-month period. More than 300 public complaints had been received by the ICO and the Telephone Preference Service.</w:t>
      </w:r>
    </w:p>
    <w:p w14:paraId="536984D4" w14:textId="77777777" w:rsidR="007B40F7" w:rsidRPr="007B40F7" w:rsidRDefault="007B40F7" w:rsidP="007B40F7">
      <w:pPr>
        <w:spacing w:before="100" w:beforeAutospacing="1" w:after="100" w:afterAutospacing="1"/>
        <w:rPr>
          <w:rFonts w:ascii="Arial" w:eastAsia="Calibri" w:hAnsi="Arial" w:cs="Arial"/>
          <w:sz w:val="24"/>
          <w:szCs w:val="24"/>
        </w:rPr>
      </w:pPr>
      <w:r w:rsidRPr="007B40F7">
        <w:rPr>
          <w:rFonts w:ascii="Arial" w:eastAsia="Calibri" w:hAnsi="Arial" w:cs="Arial"/>
          <w:sz w:val="24"/>
          <w:szCs w:val="24"/>
        </w:rPr>
        <w:t>Aggressive tactics appeared to have been used when making some of the calls and there was evidence of great distress being suffered by some recipients. There were indications that operatives continued to call individuals who had specifically asked not to be contacted and refused to comply with requests to remove telephone numbers from the database.</w:t>
      </w:r>
    </w:p>
    <w:p w14:paraId="12199508" w14:textId="77777777" w:rsidR="007B40F7" w:rsidRPr="007B40F7" w:rsidRDefault="007B40F7" w:rsidP="007B40F7">
      <w:pPr>
        <w:spacing w:before="100" w:beforeAutospacing="1" w:after="100" w:afterAutospacing="1"/>
        <w:rPr>
          <w:rFonts w:ascii="Arial" w:eastAsia="Calibri" w:hAnsi="Arial" w:cs="Arial"/>
          <w:sz w:val="24"/>
          <w:szCs w:val="24"/>
        </w:rPr>
      </w:pPr>
      <w:r w:rsidRPr="007B40F7">
        <w:rPr>
          <w:rFonts w:ascii="Arial" w:eastAsia="Calibri" w:hAnsi="Arial" w:cs="Arial"/>
          <w:sz w:val="24"/>
          <w:szCs w:val="24"/>
        </w:rPr>
        <w:t>The company said that it had obtained data from reputable sources and that it had engaged the services of compliance advisers. The ICO, however, found that its lack of knowledge and understanding of regulations designed to protect privacy and to police the use of personal data and the public communications network was apparent.</w:t>
      </w:r>
    </w:p>
    <w:p w14:paraId="7A77097A" w14:textId="77777777" w:rsidR="007B40F7" w:rsidRPr="007B40F7" w:rsidRDefault="007B40F7" w:rsidP="007B40F7">
      <w:pPr>
        <w:spacing w:before="100" w:beforeAutospacing="1" w:after="100" w:afterAutospacing="1"/>
        <w:rPr>
          <w:rFonts w:ascii="Arial" w:eastAsia="Calibri" w:hAnsi="Arial" w:cs="Arial"/>
          <w:sz w:val="24"/>
          <w:szCs w:val="24"/>
        </w:rPr>
      </w:pPr>
      <w:r w:rsidRPr="007B40F7">
        <w:rPr>
          <w:rFonts w:ascii="Arial" w:eastAsia="Calibri" w:hAnsi="Arial" w:cs="Arial"/>
          <w:sz w:val="24"/>
          <w:szCs w:val="24"/>
        </w:rPr>
        <w:t>It had failed to show that any of the complainants gave sufficient consent to receiving the calls. Whilst it had not deliberately set out to contravene the regulations, it had done so negligently and its multiple breaches were serious. There were no relevant mitigating features in the case and the ICO imposed a £200,000 penalty.</w:t>
      </w:r>
    </w:p>
    <w:p w14:paraId="43B388A7" w14:textId="77777777" w:rsidR="007B40F7" w:rsidRPr="007B40F7" w:rsidRDefault="007B40F7" w:rsidP="007B40F7">
      <w:pPr>
        <w:rPr>
          <w:rFonts w:ascii="Arial" w:eastAsia="Calibri" w:hAnsi="Arial" w:cs="Arial"/>
          <w:b/>
          <w:bCs/>
          <w:sz w:val="24"/>
          <w:szCs w:val="24"/>
        </w:rPr>
      </w:pPr>
      <w:r w:rsidRPr="007B40F7">
        <w:rPr>
          <w:rFonts w:ascii="Arial" w:eastAsia="Calibri" w:hAnsi="Arial" w:cs="Arial"/>
          <w:b/>
          <w:bCs/>
          <w:sz w:val="24"/>
          <w:szCs w:val="24"/>
        </w:rPr>
        <w:t>Partner Note</w:t>
      </w:r>
    </w:p>
    <w:p w14:paraId="598E47E8" w14:textId="77777777" w:rsidR="007B40F7" w:rsidRPr="007B40F7" w:rsidRDefault="007B40F7" w:rsidP="007B40F7">
      <w:pPr>
        <w:rPr>
          <w:rFonts w:ascii="Arial" w:eastAsia="Calibri" w:hAnsi="Arial" w:cs="Arial"/>
          <w:sz w:val="24"/>
          <w:szCs w:val="24"/>
        </w:rPr>
      </w:pPr>
      <w:r w:rsidRPr="007B40F7">
        <w:rPr>
          <w:rFonts w:ascii="Arial" w:eastAsia="Calibri" w:hAnsi="Arial" w:cs="Arial"/>
          <w:sz w:val="24"/>
          <w:szCs w:val="24"/>
        </w:rPr>
        <w:t>ICO Monetary Penalty Notice Issued on 25/6/2021</w:t>
      </w:r>
    </w:p>
    <w:p w14:paraId="5036FB1F" w14:textId="24ED0BC1" w:rsidR="003B4DBB" w:rsidRDefault="007A3910" w:rsidP="00231587">
      <w:pPr>
        <w:spacing w:before="100" w:beforeAutospacing="1" w:after="100" w:afterAutospacing="1"/>
        <w:rPr>
          <w:rFonts w:ascii="Arial" w:hAnsi="Arial" w:cs="Arial"/>
          <w:sz w:val="28"/>
          <w:szCs w:val="28"/>
        </w:rPr>
      </w:pPr>
      <w:r>
        <w:rPr>
          <w:rFonts w:ascii="Arial" w:hAnsi="Arial" w:cs="Arial"/>
          <w:sz w:val="28"/>
          <w:szCs w:val="28"/>
        </w:rPr>
        <w:t>Intellectual Property</w:t>
      </w:r>
    </w:p>
    <w:p w14:paraId="4768C87E" w14:textId="06D3FE40" w:rsidR="0075419D" w:rsidRPr="0075419D" w:rsidRDefault="0075419D" w:rsidP="0075419D">
      <w:pPr>
        <w:spacing w:before="100" w:beforeAutospacing="1" w:after="100" w:afterAutospacing="1"/>
        <w:rPr>
          <w:rFonts w:ascii="Arial" w:eastAsia="Calibri" w:hAnsi="Arial" w:cs="Arial"/>
          <w:b/>
          <w:bCs/>
          <w:sz w:val="24"/>
          <w:szCs w:val="24"/>
        </w:rPr>
      </w:pPr>
      <w:r w:rsidRPr="0075419D">
        <w:rPr>
          <w:rFonts w:ascii="Arial" w:eastAsia="Calibri" w:hAnsi="Arial" w:cs="Arial"/>
          <w:b/>
          <w:bCs/>
          <w:sz w:val="24"/>
          <w:szCs w:val="24"/>
        </w:rPr>
        <w:lastRenderedPageBreak/>
        <w:t>AI Machines May Take Over – But Not Yet</w:t>
      </w:r>
      <w:r w:rsidR="008B423D">
        <w:rPr>
          <w:rFonts w:ascii="Arial" w:eastAsia="Calibri" w:hAnsi="Arial" w:cs="Arial"/>
          <w:b/>
          <w:bCs/>
          <w:sz w:val="24"/>
          <w:szCs w:val="24"/>
        </w:rPr>
        <w:t>.</w:t>
      </w:r>
      <w:r w:rsidR="00937420" w:rsidRPr="0075419D">
        <w:rPr>
          <w:rFonts w:ascii="Arial" w:eastAsia="Calibri" w:hAnsi="Arial" w:cs="Arial"/>
          <w:b/>
          <w:bCs/>
          <w:sz w:val="24"/>
          <w:szCs w:val="24"/>
        </w:rPr>
        <w:t xml:space="preserve"> </w:t>
      </w:r>
      <w:r w:rsidRPr="0075419D">
        <w:rPr>
          <w:rFonts w:ascii="Arial" w:eastAsia="Calibri" w:hAnsi="Arial" w:cs="Arial"/>
          <w:b/>
          <w:bCs/>
          <w:sz w:val="24"/>
          <w:szCs w:val="24"/>
        </w:rPr>
        <w:t>Landmark Patents Ruling</w:t>
      </w:r>
    </w:p>
    <w:p w14:paraId="19E05813" w14:textId="77777777" w:rsidR="0075419D" w:rsidRPr="0075419D" w:rsidRDefault="0075419D" w:rsidP="0075419D">
      <w:pPr>
        <w:spacing w:before="100" w:beforeAutospacing="1" w:after="100" w:afterAutospacing="1"/>
        <w:rPr>
          <w:rFonts w:ascii="Arial" w:eastAsia="Calibri" w:hAnsi="Arial" w:cs="Arial"/>
          <w:sz w:val="24"/>
          <w:szCs w:val="24"/>
        </w:rPr>
      </w:pPr>
      <w:r w:rsidRPr="0075419D">
        <w:rPr>
          <w:rFonts w:ascii="Arial" w:eastAsia="Calibri" w:hAnsi="Arial" w:cs="Arial"/>
          <w:sz w:val="24"/>
          <w:szCs w:val="24"/>
        </w:rPr>
        <w:t>Artificial intelligence may be advanced but, at least so far as patent law is concerned, it has yet to overcome the human monopoly on inventiveness. The point was made by a Court of Appeal test case concerning devices that were said to have been invented by a machine without any need for human input.</w:t>
      </w:r>
    </w:p>
    <w:p w14:paraId="4E9FA39F" w14:textId="043B8ACA" w:rsidR="0075419D" w:rsidRPr="0075419D" w:rsidRDefault="0075419D" w:rsidP="0075419D">
      <w:pPr>
        <w:spacing w:before="100" w:beforeAutospacing="1" w:after="100" w:afterAutospacing="1"/>
        <w:rPr>
          <w:rFonts w:ascii="Arial" w:eastAsia="Calibri" w:hAnsi="Arial" w:cs="Arial"/>
          <w:sz w:val="24"/>
          <w:szCs w:val="24"/>
        </w:rPr>
      </w:pPr>
      <w:r w:rsidRPr="0075419D">
        <w:rPr>
          <w:rFonts w:ascii="Arial" w:eastAsia="Calibri" w:hAnsi="Arial" w:cs="Arial"/>
          <w:sz w:val="24"/>
          <w:szCs w:val="24"/>
        </w:rPr>
        <w:t>The creator of an AI machine applied to the Intellectual Property Office (IPO) for a grant of patents in respect of a food container and a form of flashing light. On the application forms, the machine was identified as the inventor of the devices. The applicant eschewed any claim to inventorship and asserted that the devices were entirely and solely conceived by the machine.</w:t>
      </w:r>
    </w:p>
    <w:p w14:paraId="5D54F8FB" w14:textId="16723029" w:rsidR="0075419D" w:rsidRPr="0075419D" w:rsidRDefault="0075419D" w:rsidP="0075419D">
      <w:pPr>
        <w:spacing w:before="100" w:beforeAutospacing="1" w:after="100" w:afterAutospacing="1"/>
        <w:rPr>
          <w:rFonts w:ascii="Arial" w:eastAsia="Calibri" w:hAnsi="Arial" w:cs="Arial"/>
          <w:sz w:val="24"/>
          <w:szCs w:val="24"/>
        </w:rPr>
      </w:pPr>
      <w:r w:rsidRPr="0075419D">
        <w:rPr>
          <w:rFonts w:ascii="Arial" w:eastAsia="Calibri" w:hAnsi="Arial" w:cs="Arial"/>
          <w:sz w:val="24"/>
          <w:szCs w:val="24"/>
        </w:rPr>
        <w:t xml:space="preserve">There was no suggestion that he had filled in the forms other than in accordance with his genuine and honest beliefs. </w:t>
      </w:r>
      <w:r w:rsidR="00937420">
        <w:rPr>
          <w:rFonts w:ascii="Arial" w:eastAsia="Calibri" w:hAnsi="Arial" w:cs="Arial"/>
          <w:sz w:val="24"/>
          <w:szCs w:val="24"/>
        </w:rPr>
        <w:t xml:space="preserve">The </w:t>
      </w:r>
      <w:r w:rsidRPr="0075419D">
        <w:rPr>
          <w:rFonts w:ascii="Arial" w:eastAsia="Calibri" w:hAnsi="Arial" w:cs="Arial"/>
          <w:sz w:val="24"/>
          <w:szCs w:val="24"/>
        </w:rPr>
        <w:t>IPO, however, treated the applications as having been withdrawn on the basis that his statements of inventorship failed to satisfy Section 13(2) of the Patents Act 1977. The applicant</w:t>
      </w:r>
      <w:r w:rsidR="007B40F7">
        <w:rPr>
          <w:rFonts w:ascii="Arial" w:eastAsia="Calibri" w:hAnsi="Arial" w:cs="Arial"/>
          <w:sz w:val="24"/>
          <w:szCs w:val="24"/>
        </w:rPr>
        <w:t>'</w:t>
      </w:r>
      <w:r w:rsidRPr="0075419D">
        <w:rPr>
          <w:rFonts w:ascii="Arial" w:eastAsia="Calibri" w:hAnsi="Arial" w:cs="Arial"/>
          <w:sz w:val="24"/>
          <w:szCs w:val="24"/>
        </w:rPr>
        <w:t>s challenge to that decision was subsequently rejected by a judge.</w:t>
      </w:r>
    </w:p>
    <w:p w14:paraId="1FE09671" w14:textId="35AE4B12" w:rsidR="0075419D" w:rsidRPr="0075419D" w:rsidRDefault="0075419D" w:rsidP="0075419D">
      <w:pPr>
        <w:spacing w:before="100" w:beforeAutospacing="1" w:after="100" w:afterAutospacing="1"/>
        <w:rPr>
          <w:rFonts w:ascii="Arial" w:eastAsia="Calibri" w:hAnsi="Arial" w:cs="Arial"/>
          <w:sz w:val="24"/>
          <w:szCs w:val="24"/>
        </w:rPr>
      </w:pPr>
      <w:r w:rsidRPr="0075419D">
        <w:rPr>
          <w:rFonts w:ascii="Arial" w:eastAsia="Calibri" w:hAnsi="Arial" w:cs="Arial"/>
          <w:sz w:val="24"/>
          <w:szCs w:val="24"/>
        </w:rPr>
        <w:t>Dismissing his appeal against that outcome, the Court found that, on a true reading of the Act, only a natural person can be an inventor. The machine had no legal personality or capacity and any assertion that it had assigned its rights in respect of the devices to the applicant was therefore a legal impossibility. As a matter of law, he could not derive a right to be granted the patents from his ownership of the machine.</w:t>
      </w:r>
    </w:p>
    <w:p w14:paraId="05F83E0D" w14:textId="7A82B186" w:rsidR="0075419D" w:rsidRDefault="0075419D" w:rsidP="0075419D">
      <w:pPr>
        <w:spacing w:before="100" w:beforeAutospacing="1" w:after="100" w:afterAutospacing="1"/>
        <w:rPr>
          <w:rFonts w:ascii="Arial" w:eastAsia="Calibri" w:hAnsi="Arial" w:cs="Arial"/>
          <w:sz w:val="24"/>
          <w:szCs w:val="24"/>
        </w:rPr>
      </w:pPr>
      <w:r w:rsidRPr="0075419D">
        <w:rPr>
          <w:rFonts w:ascii="Arial" w:eastAsia="Calibri" w:hAnsi="Arial" w:cs="Arial"/>
          <w:sz w:val="24"/>
          <w:szCs w:val="24"/>
        </w:rPr>
        <w:t>The applicant did not identify any person or persons whom he believed to be the inventor or inventors of the devices, as required by Section 13(2)(a) of the Act. On the contrary, he deliberately identified a non-person. Having failed to comply with the statutory requirements, the fact that he genuinely believed that the machine was the inventor was neither here nor there.</w:t>
      </w:r>
    </w:p>
    <w:p w14:paraId="00FCB8AA" w14:textId="75D8A923" w:rsidR="0075419D" w:rsidRPr="00A025F2" w:rsidRDefault="0075419D" w:rsidP="0075419D">
      <w:pPr>
        <w:spacing w:before="100" w:beforeAutospacing="1" w:after="100" w:afterAutospacing="1"/>
        <w:rPr>
          <w:rFonts w:ascii="Arial" w:eastAsia="Calibri" w:hAnsi="Arial" w:cs="Arial"/>
          <w:sz w:val="24"/>
          <w:szCs w:val="24"/>
        </w:rPr>
      </w:pPr>
      <w:r>
        <w:rPr>
          <w:rFonts w:ascii="Arial" w:eastAsia="Calibri" w:hAnsi="Arial" w:cs="Arial"/>
          <w:sz w:val="24"/>
          <w:szCs w:val="24"/>
        </w:rPr>
        <w:t xml:space="preserve">For expert advice </w:t>
      </w:r>
      <w:r w:rsidR="00CA6E6C">
        <w:rPr>
          <w:rFonts w:ascii="Arial" w:eastAsia="Calibri" w:hAnsi="Arial" w:cs="Arial"/>
          <w:sz w:val="24"/>
          <w:szCs w:val="24"/>
        </w:rPr>
        <w:t xml:space="preserve">on </w:t>
      </w:r>
      <w:r>
        <w:rPr>
          <w:rFonts w:ascii="Arial" w:eastAsia="Calibri" w:hAnsi="Arial" w:cs="Arial"/>
          <w:sz w:val="24"/>
          <w:szCs w:val="24"/>
        </w:rPr>
        <w:t xml:space="preserve">any matters relating to intellectual property, contact </w:t>
      </w:r>
      <w:r w:rsidRPr="00920595">
        <w:rPr>
          <w:rFonts w:ascii="Arial" w:eastAsia="Calibri" w:hAnsi="Arial" w:cs="Arial"/>
          <w:color w:val="FF0000"/>
          <w:sz w:val="24"/>
          <w:szCs w:val="24"/>
        </w:rPr>
        <w:t>&lt;&lt;CONTACT DETAILS&gt;&gt;</w:t>
      </w:r>
      <w:r w:rsidRPr="00A025F2">
        <w:rPr>
          <w:rFonts w:ascii="Arial" w:eastAsia="Calibri" w:hAnsi="Arial" w:cs="Arial"/>
          <w:sz w:val="24"/>
          <w:szCs w:val="24"/>
        </w:rPr>
        <w:t>.</w:t>
      </w:r>
    </w:p>
    <w:p w14:paraId="1F7139C3" w14:textId="77777777" w:rsidR="0075419D" w:rsidRPr="0075419D" w:rsidRDefault="0075419D" w:rsidP="0075419D">
      <w:pPr>
        <w:rPr>
          <w:rFonts w:ascii="Arial" w:eastAsia="Calibri" w:hAnsi="Arial" w:cs="Arial"/>
          <w:b/>
          <w:bCs/>
          <w:sz w:val="24"/>
          <w:szCs w:val="24"/>
        </w:rPr>
      </w:pPr>
      <w:r w:rsidRPr="0075419D">
        <w:rPr>
          <w:rFonts w:ascii="Arial" w:eastAsia="Calibri" w:hAnsi="Arial" w:cs="Arial"/>
          <w:b/>
          <w:bCs/>
          <w:sz w:val="24"/>
          <w:szCs w:val="24"/>
        </w:rPr>
        <w:t>Partner Note</w:t>
      </w:r>
    </w:p>
    <w:p w14:paraId="55C1BACA" w14:textId="77777777" w:rsidR="0075419D" w:rsidRPr="0075419D" w:rsidRDefault="0075419D" w:rsidP="0075419D">
      <w:pPr>
        <w:rPr>
          <w:rFonts w:ascii="Arial" w:eastAsia="Calibri" w:hAnsi="Arial" w:cs="Arial"/>
          <w:sz w:val="24"/>
          <w:szCs w:val="24"/>
        </w:rPr>
      </w:pPr>
      <w:r w:rsidRPr="0075419D">
        <w:rPr>
          <w:rFonts w:ascii="Arial" w:eastAsia="Calibri" w:hAnsi="Arial" w:cs="Arial"/>
          <w:sz w:val="24"/>
          <w:szCs w:val="24"/>
        </w:rPr>
        <w:t xml:space="preserve">Thaler v Comptroller General of Patents, Trade Marks and Designs [2021] EWCA </w:t>
      </w:r>
      <w:proofErr w:type="spellStart"/>
      <w:r w:rsidRPr="0075419D">
        <w:rPr>
          <w:rFonts w:ascii="Arial" w:eastAsia="Calibri" w:hAnsi="Arial" w:cs="Arial"/>
          <w:sz w:val="24"/>
          <w:szCs w:val="24"/>
        </w:rPr>
        <w:t>Civ</w:t>
      </w:r>
      <w:proofErr w:type="spellEnd"/>
      <w:r w:rsidRPr="0075419D">
        <w:rPr>
          <w:rFonts w:ascii="Arial" w:eastAsia="Calibri" w:hAnsi="Arial" w:cs="Arial"/>
          <w:sz w:val="24"/>
          <w:szCs w:val="24"/>
        </w:rPr>
        <w:t xml:space="preserve"> 1374</w:t>
      </w:r>
    </w:p>
    <w:p w14:paraId="09AF9155" w14:textId="5D846328" w:rsidR="00791C7B" w:rsidRDefault="00663520" w:rsidP="00711440">
      <w:pPr>
        <w:spacing w:before="100" w:beforeAutospacing="1" w:after="100" w:afterAutospacing="1"/>
        <w:rPr>
          <w:rFonts w:ascii="Arial" w:eastAsia="Calibri" w:hAnsi="Arial" w:cs="Arial"/>
          <w:b/>
          <w:bCs/>
          <w:sz w:val="24"/>
          <w:szCs w:val="24"/>
        </w:rPr>
      </w:pPr>
      <w:bookmarkStart w:id="15" w:name="_Hlk80631405"/>
      <w:bookmarkStart w:id="16" w:name="_Hlk67833343"/>
      <w:r>
        <w:rPr>
          <w:rFonts w:ascii="Arial" w:hAnsi="Arial" w:cs="Arial"/>
          <w:sz w:val="28"/>
          <w:szCs w:val="28"/>
        </w:rPr>
        <w:t>Em</w:t>
      </w:r>
      <w:bookmarkEnd w:id="15"/>
      <w:r>
        <w:rPr>
          <w:rFonts w:ascii="Arial" w:hAnsi="Arial" w:cs="Arial"/>
          <w:sz w:val="28"/>
          <w:szCs w:val="28"/>
        </w:rPr>
        <w:t>ployment</w:t>
      </w:r>
      <w:r w:rsidR="00791C7B" w:rsidRPr="00791C7B">
        <w:rPr>
          <w:rFonts w:ascii="Arial" w:eastAsia="Calibri" w:hAnsi="Arial" w:cs="Arial"/>
          <w:b/>
          <w:bCs/>
          <w:sz w:val="24"/>
          <w:szCs w:val="24"/>
        </w:rPr>
        <w:t xml:space="preserve"> </w:t>
      </w:r>
    </w:p>
    <w:p w14:paraId="55A1A584" w14:textId="77777777" w:rsidR="001D639D" w:rsidRPr="001D639D" w:rsidRDefault="001D639D" w:rsidP="001D639D">
      <w:pPr>
        <w:spacing w:before="100" w:beforeAutospacing="1" w:after="100" w:afterAutospacing="1"/>
        <w:rPr>
          <w:rFonts w:ascii="Arial" w:eastAsia="Calibri" w:hAnsi="Arial" w:cs="Arial"/>
          <w:b/>
          <w:bCs/>
          <w:sz w:val="24"/>
          <w:szCs w:val="24"/>
        </w:rPr>
      </w:pPr>
      <w:bookmarkStart w:id="17" w:name="_Hlk83813103"/>
      <w:r w:rsidRPr="001D639D">
        <w:rPr>
          <w:rFonts w:ascii="Arial" w:eastAsia="Calibri" w:hAnsi="Arial" w:cs="Arial"/>
          <w:b/>
          <w:bCs/>
          <w:sz w:val="24"/>
          <w:szCs w:val="24"/>
        </w:rPr>
        <w:t>Commercial Property Specialist in Performance Fee Dispute</w:t>
      </w:r>
    </w:p>
    <w:bookmarkEnd w:id="17"/>
    <w:p w14:paraId="35579125" w14:textId="02E16688" w:rsidR="001D639D" w:rsidRPr="001D639D" w:rsidRDefault="001D639D" w:rsidP="001D639D">
      <w:pPr>
        <w:spacing w:before="100" w:beforeAutospacing="1" w:after="100" w:afterAutospacing="1"/>
        <w:rPr>
          <w:rFonts w:ascii="Arial" w:eastAsia="Calibri" w:hAnsi="Arial" w:cs="Arial"/>
          <w:sz w:val="24"/>
          <w:szCs w:val="24"/>
        </w:rPr>
      </w:pPr>
      <w:r w:rsidRPr="001D639D">
        <w:rPr>
          <w:rFonts w:ascii="Arial" w:eastAsia="Calibri" w:hAnsi="Arial" w:cs="Arial"/>
          <w:sz w:val="24"/>
          <w:szCs w:val="24"/>
        </w:rPr>
        <w:t>Many employees are driven to work hard by the prospect of receiving performance fees. However, as a case concerning a commercial property specialist showed, entitlement to such payments very much depends on the precise wording of employment contracts</w:t>
      </w:r>
      <w:r w:rsidR="0075419D">
        <w:rPr>
          <w:rFonts w:ascii="Arial" w:eastAsia="Calibri" w:hAnsi="Arial" w:cs="Arial"/>
          <w:sz w:val="24"/>
          <w:szCs w:val="24"/>
        </w:rPr>
        <w:t>.</w:t>
      </w:r>
    </w:p>
    <w:p w14:paraId="7B680A43" w14:textId="77777777" w:rsidR="001D639D" w:rsidRPr="001D639D" w:rsidRDefault="001D639D" w:rsidP="001D639D">
      <w:pPr>
        <w:spacing w:before="100" w:beforeAutospacing="1" w:after="100" w:afterAutospacing="1"/>
        <w:rPr>
          <w:rFonts w:ascii="Arial" w:eastAsia="Calibri" w:hAnsi="Arial" w:cs="Arial"/>
          <w:sz w:val="24"/>
          <w:szCs w:val="24"/>
        </w:rPr>
      </w:pPr>
      <w:r w:rsidRPr="001D639D">
        <w:rPr>
          <w:rFonts w:ascii="Arial" w:eastAsia="Calibri" w:hAnsi="Arial" w:cs="Arial"/>
          <w:sz w:val="24"/>
          <w:szCs w:val="24"/>
        </w:rPr>
        <w:t xml:space="preserve">The woman, a chartered surveyor with more than 30 years' experience, worked for a commercial real estate management company. After she was made redundant at the height of the COVID-19 pandemic, she claimed that she was contractually entitled to </w:t>
      </w:r>
      <w:r w:rsidRPr="001D639D">
        <w:rPr>
          <w:rFonts w:ascii="Arial" w:eastAsia="Calibri" w:hAnsi="Arial" w:cs="Arial"/>
          <w:sz w:val="24"/>
          <w:szCs w:val="24"/>
        </w:rPr>
        <w:lastRenderedPageBreak/>
        <w:t>a performance fee in the form of a 10 per cent profit share relating to a substantial transaction with which she was heavily involved prior to her departure.</w:t>
      </w:r>
    </w:p>
    <w:p w14:paraId="615E93AA" w14:textId="77777777" w:rsidR="001D639D" w:rsidRPr="001D639D" w:rsidRDefault="001D639D" w:rsidP="001D639D">
      <w:pPr>
        <w:spacing w:before="100" w:beforeAutospacing="1" w:after="100" w:afterAutospacing="1"/>
        <w:rPr>
          <w:rFonts w:ascii="Arial" w:eastAsia="Calibri" w:hAnsi="Arial" w:cs="Arial"/>
          <w:sz w:val="24"/>
          <w:szCs w:val="24"/>
        </w:rPr>
      </w:pPr>
      <w:r w:rsidRPr="001D639D">
        <w:rPr>
          <w:rFonts w:ascii="Arial" w:eastAsia="Calibri" w:hAnsi="Arial" w:cs="Arial"/>
          <w:sz w:val="24"/>
          <w:szCs w:val="24"/>
        </w:rPr>
        <w:t>She lodged Employment Tribunal (ET) proceedings on the basis that the failure to pay her such a profit share amounted to an unauthorised deduction from her wages, contrary to Part II of the Employment Rights Act 1996. In resisting her claim, the company argued that it should be dismissed or struck out as misconceived.</w:t>
      </w:r>
    </w:p>
    <w:p w14:paraId="0453CD2F" w14:textId="77777777" w:rsidR="001D639D" w:rsidRPr="001D639D" w:rsidRDefault="001D639D" w:rsidP="001D639D">
      <w:pPr>
        <w:spacing w:before="100" w:beforeAutospacing="1" w:after="100" w:afterAutospacing="1"/>
        <w:rPr>
          <w:rFonts w:ascii="Arial" w:eastAsia="Calibri" w:hAnsi="Arial" w:cs="Arial"/>
          <w:sz w:val="24"/>
          <w:szCs w:val="24"/>
        </w:rPr>
      </w:pPr>
      <w:r w:rsidRPr="001D639D">
        <w:rPr>
          <w:rFonts w:ascii="Arial" w:eastAsia="Calibri" w:hAnsi="Arial" w:cs="Arial"/>
          <w:sz w:val="24"/>
          <w:szCs w:val="24"/>
        </w:rPr>
        <w:t>Ruling on the matter, the ET noted that her employment contract stated that she 'may' receive a minimum 10 per cent share of profits generated by projects on which she acted as designated asset manager. The terms and percentage of any such performance fee were to be negotiated if not agreed in advance.</w:t>
      </w:r>
    </w:p>
    <w:p w14:paraId="1DF3312F" w14:textId="77777777" w:rsidR="001D639D" w:rsidRPr="001D639D" w:rsidRDefault="001D639D" w:rsidP="001D639D">
      <w:pPr>
        <w:spacing w:before="100" w:beforeAutospacing="1" w:after="100" w:afterAutospacing="1"/>
        <w:rPr>
          <w:rFonts w:ascii="Arial" w:eastAsia="Calibri" w:hAnsi="Arial" w:cs="Arial"/>
          <w:sz w:val="24"/>
          <w:szCs w:val="24"/>
        </w:rPr>
      </w:pPr>
      <w:r w:rsidRPr="001D639D">
        <w:rPr>
          <w:rFonts w:ascii="Arial" w:eastAsia="Calibri" w:hAnsi="Arial" w:cs="Arial"/>
          <w:sz w:val="24"/>
          <w:szCs w:val="24"/>
        </w:rPr>
        <w:t xml:space="preserve">Dismissing her claim, the ET found that, </w:t>
      </w:r>
      <w:proofErr w:type="gramStart"/>
      <w:r w:rsidRPr="001D639D">
        <w:rPr>
          <w:rFonts w:ascii="Arial" w:eastAsia="Calibri" w:hAnsi="Arial" w:cs="Arial"/>
          <w:sz w:val="24"/>
          <w:szCs w:val="24"/>
        </w:rPr>
        <w:t>by the use of</w:t>
      </w:r>
      <w:proofErr w:type="gramEnd"/>
      <w:r w:rsidRPr="001D639D">
        <w:rPr>
          <w:rFonts w:ascii="Arial" w:eastAsia="Calibri" w:hAnsi="Arial" w:cs="Arial"/>
          <w:sz w:val="24"/>
          <w:szCs w:val="24"/>
        </w:rPr>
        <w:t xml:space="preserve"> the word 'may', the company had retained a discretion as to whether or not to pay her a performance fee. It could not be exercised unreasonably, </w:t>
      </w:r>
      <w:proofErr w:type="gramStart"/>
      <w:r w:rsidRPr="001D639D">
        <w:rPr>
          <w:rFonts w:ascii="Arial" w:eastAsia="Calibri" w:hAnsi="Arial" w:cs="Arial"/>
          <w:sz w:val="24"/>
          <w:szCs w:val="24"/>
        </w:rPr>
        <w:t>capriciously</w:t>
      </w:r>
      <w:proofErr w:type="gramEnd"/>
      <w:r w:rsidRPr="001D639D">
        <w:rPr>
          <w:rFonts w:ascii="Arial" w:eastAsia="Calibri" w:hAnsi="Arial" w:cs="Arial"/>
          <w:sz w:val="24"/>
          <w:szCs w:val="24"/>
        </w:rPr>
        <w:t xml:space="preserve"> or arbitrarily, but it was nevertheless significant. Negotiations in respect of the percentage of profit that it would be appropriate for her to receive had in any event not ended in agreement.</w:t>
      </w:r>
    </w:p>
    <w:p w14:paraId="15B298E4" w14:textId="77777777" w:rsidR="001D639D" w:rsidRPr="001D639D" w:rsidRDefault="001D639D" w:rsidP="001D639D">
      <w:pPr>
        <w:spacing w:before="100" w:beforeAutospacing="1" w:after="100" w:afterAutospacing="1"/>
        <w:rPr>
          <w:rFonts w:ascii="Arial" w:eastAsia="Calibri" w:hAnsi="Arial" w:cs="Arial"/>
          <w:sz w:val="24"/>
          <w:szCs w:val="24"/>
        </w:rPr>
      </w:pPr>
      <w:r w:rsidRPr="001D639D">
        <w:rPr>
          <w:rFonts w:ascii="Arial" w:eastAsia="Calibri" w:hAnsi="Arial" w:cs="Arial"/>
          <w:sz w:val="24"/>
          <w:szCs w:val="24"/>
        </w:rPr>
        <w:t>The ET noted that it could only hear an unauthorised deduction from wages claim in respect of a quantifiable sum. Given the existence of the discretion and the absence of agreement as to the percentage of her profit share, the woman's claim was for an unquantified and unidentified sum. The ET thus had no jurisdiction to entertain her complaint.</w:t>
      </w:r>
    </w:p>
    <w:p w14:paraId="7FA01ADF" w14:textId="07CAB80F" w:rsidR="001D639D" w:rsidRDefault="001D639D" w:rsidP="001D639D">
      <w:pPr>
        <w:spacing w:before="100" w:beforeAutospacing="1" w:after="100" w:afterAutospacing="1"/>
        <w:rPr>
          <w:rFonts w:ascii="Arial" w:eastAsia="Calibri" w:hAnsi="Arial" w:cs="Arial"/>
          <w:sz w:val="24"/>
          <w:szCs w:val="24"/>
        </w:rPr>
      </w:pPr>
      <w:r w:rsidRPr="001D639D">
        <w:rPr>
          <w:rFonts w:ascii="Arial" w:eastAsia="Calibri" w:hAnsi="Arial" w:cs="Arial"/>
          <w:sz w:val="24"/>
          <w:szCs w:val="24"/>
        </w:rPr>
        <w:t>We can advise you on all aspects of employment law, including employment contracts.</w:t>
      </w:r>
    </w:p>
    <w:p w14:paraId="0703DD49" w14:textId="132E65FF" w:rsidR="0075419D" w:rsidRDefault="0075419D" w:rsidP="0075419D">
      <w:pPr>
        <w:rPr>
          <w:rFonts w:ascii="Arial" w:eastAsia="Calibri" w:hAnsi="Arial" w:cs="Arial"/>
          <w:b/>
          <w:bCs/>
          <w:sz w:val="24"/>
          <w:szCs w:val="24"/>
        </w:rPr>
      </w:pPr>
      <w:r>
        <w:rPr>
          <w:rFonts w:ascii="Arial" w:eastAsia="Calibri" w:hAnsi="Arial" w:cs="Arial"/>
          <w:b/>
          <w:bCs/>
          <w:sz w:val="24"/>
          <w:szCs w:val="24"/>
        </w:rPr>
        <w:t>Partner Note</w:t>
      </w:r>
    </w:p>
    <w:p w14:paraId="760B96B0" w14:textId="1EF3D787" w:rsidR="0075419D" w:rsidRPr="001D639D" w:rsidRDefault="0075419D" w:rsidP="0075419D">
      <w:pPr>
        <w:rPr>
          <w:rFonts w:ascii="Arial" w:eastAsia="Calibri" w:hAnsi="Arial" w:cs="Arial"/>
          <w:sz w:val="24"/>
          <w:szCs w:val="24"/>
        </w:rPr>
      </w:pPr>
      <w:r w:rsidRPr="0075419D">
        <w:rPr>
          <w:rFonts w:ascii="Arial" w:eastAsia="Calibri" w:hAnsi="Arial" w:cs="Arial"/>
          <w:sz w:val="24"/>
          <w:szCs w:val="24"/>
        </w:rPr>
        <w:t>Thom v Hobart Real Estate Partners Ltd</w:t>
      </w:r>
      <w:r>
        <w:rPr>
          <w:rFonts w:ascii="Arial" w:eastAsia="Calibri" w:hAnsi="Arial" w:cs="Arial"/>
          <w:sz w:val="24"/>
          <w:szCs w:val="24"/>
        </w:rPr>
        <w:t xml:space="preserve"> </w:t>
      </w:r>
      <w:r w:rsidRPr="0075419D">
        <w:rPr>
          <w:rFonts w:ascii="Arial" w:eastAsia="Calibri" w:hAnsi="Arial" w:cs="Arial"/>
          <w:sz w:val="24"/>
          <w:szCs w:val="24"/>
        </w:rPr>
        <w:t>[2021] UKET 2207227/2020</w:t>
      </w:r>
    </w:p>
    <w:p w14:paraId="1BCBD1AB" w14:textId="77777777" w:rsidR="005730F4" w:rsidRDefault="005730F4" w:rsidP="00707F1F">
      <w:pPr>
        <w:spacing w:before="100" w:beforeAutospacing="1" w:after="100" w:afterAutospacing="1"/>
        <w:rPr>
          <w:rFonts w:ascii="Arial" w:eastAsia="Calibri" w:hAnsi="Arial" w:cs="Arial"/>
          <w:sz w:val="24"/>
          <w:szCs w:val="24"/>
        </w:rPr>
      </w:pPr>
    </w:p>
    <w:bookmarkEnd w:id="16"/>
    <w:p w14:paraId="1A464872" w14:textId="420AB5D9" w:rsidR="00A8710E" w:rsidRDefault="002A2452" w:rsidP="0061291E">
      <w:pPr>
        <w:spacing w:before="100" w:beforeAutospacing="1" w:after="100" w:afterAutospacing="1"/>
        <w:jc w:val="center"/>
        <w:rPr>
          <w:rFonts w:ascii="Arial" w:eastAsia="Arial" w:hAnsi="Arial" w:cs="Arial"/>
          <w:sz w:val="18"/>
          <w:szCs w:val="18"/>
          <w:lang w:eastAsia="en-GB"/>
        </w:rPr>
      </w:pPr>
      <w:r w:rsidRPr="002A2452">
        <w:rPr>
          <w:rFonts w:ascii="Arial" w:eastAsia="Arial" w:hAnsi="Arial" w:cs="Arial"/>
          <w:sz w:val="18"/>
          <w:szCs w:val="18"/>
          <w:lang w:eastAsia="en-GB"/>
        </w:rPr>
        <w:t>These articles are provided for general interest and information only. They do not constitute legal advice. Whilst every effort is made to ensure that the content accurately reflects the law in England as at the date of its transmission, no liability is accepted for any loss or damage arising from any act or omission resulting from any information contained herein.</w:t>
      </w:r>
    </w:p>
    <w:sectPr w:rsidR="00A8710E" w:rsidSect="00004F60">
      <w:pgSz w:w="11906" w:h="16838"/>
      <w:pgMar w:top="1276"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8E459" w14:textId="77777777" w:rsidR="001A7374" w:rsidRDefault="001A7374" w:rsidP="003B5C4C">
      <w:r>
        <w:separator/>
      </w:r>
    </w:p>
  </w:endnote>
  <w:endnote w:type="continuationSeparator" w:id="0">
    <w:p w14:paraId="28903F06" w14:textId="77777777" w:rsidR="001A7374" w:rsidRDefault="001A7374" w:rsidP="003B5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731B3" w14:textId="77777777" w:rsidR="001A7374" w:rsidRDefault="001A7374" w:rsidP="003B5C4C">
      <w:r>
        <w:separator/>
      </w:r>
    </w:p>
  </w:footnote>
  <w:footnote w:type="continuationSeparator" w:id="0">
    <w:p w14:paraId="2B0CF99F" w14:textId="77777777" w:rsidR="001A7374" w:rsidRDefault="001A7374" w:rsidP="003B5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70495"/>
    <w:multiLevelType w:val="multilevel"/>
    <w:tmpl w:val="D2B4F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EE531C"/>
    <w:multiLevelType w:val="hybridMultilevel"/>
    <w:tmpl w:val="3550A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D119AB"/>
    <w:multiLevelType w:val="hybridMultilevel"/>
    <w:tmpl w:val="E34C7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DC08B8"/>
    <w:multiLevelType w:val="hybridMultilevel"/>
    <w:tmpl w:val="4E98A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736E5B"/>
    <w:multiLevelType w:val="multilevel"/>
    <w:tmpl w:val="CC00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44F"/>
    <w:rsid w:val="00000C8C"/>
    <w:rsid w:val="000026A7"/>
    <w:rsid w:val="00004A02"/>
    <w:rsid w:val="00004F60"/>
    <w:rsid w:val="00005208"/>
    <w:rsid w:val="0000590C"/>
    <w:rsid w:val="00010115"/>
    <w:rsid w:val="000135C0"/>
    <w:rsid w:val="00013C71"/>
    <w:rsid w:val="000145F6"/>
    <w:rsid w:val="00014A49"/>
    <w:rsid w:val="00015E67"/>
    <w:rsid w:val="00020EF9"/>
    <w:rsid w:val="00022B1D"/>
    <w:rsid w:val="00024081"/>
    <w:rsid w:val="00024C96"/>
    <w:rsid w:val="00027AB5"/>
    <w:rsid w:val="000345AB"/>
    <w:rsid w:val="00035611"/>
    <w:rsid w:val="00035AA2"/>
    <w:rsid w:val="000369F3"/>
    <w:rsid w:val="00036FB8"/>
    <w:rsid w:val="00043E22"/>
    <w:rsid w:val="000444D6"/>
    <w:rsid w:val="00044722"/>
    <w:rsid w:val="00044BA2"/>
    <w:rsid w:val="00045303"/>
    <w:rsid w:val="0005768A"/>
    <w:rsid w:val="00057A94"/>
    <w:rsid w:val="00057CAA"/>
    <w:rsid w:val="00061D0D"/>
    <w:rsid w:val="00066779"/>
    <w:rsid w:val="000678FD"/>
    <w:rsid w:val="0007296F"/>
    <w:rsid w:val="000734D6"/>
    <w:rsid w:val="00074207"/>
    <w:rsid w:val="00076AA9"/>
    <w:rsid w:val="00080D8C"/>
    <w:rsid w:val="00081579"/>
    <w:rsid w:val="00081E36"/>
    <w:rsid w:val="00091DB3"/>
    <w:rsid w:val="00093050"/>
    <w:rsid w:val="000969D8"/>
    <w:rsid w:val="00096E5E"/>
    <w:rsid w:val="000A670B"/>
    <w:rsid w:val="000A6782"/>
    <w:rsid w:val="000B1D5C"/>
    <w:rsid w:val="000B49E2"/>
    <w:rsid w:val="000B63AE"/>
    <w:rsid w:val="000C084E"/>
    <w:rsid w:val="000C1B63"/>
    <w:rsid w:val="000C1F83"/>
    <w:rsid w:val="000C34BB"/>
    <w:rsid w:val="000C3E64"/>
    <w:rsid w:val="000C449F"/>
    <w:rsid w:val="000C544F"/>
    <w:rsid w:val="000C66AC"/>
    <w:rsid w:val="000D0A7C"/>
    <w:rsid w:val="000D0D22"/>
    <w:rsid w:val="000D0E8F"/>
    <w:rsid w:val="000D134D"/>
    <w:rsid w:val="000D136B"/>
    <w:rsid w:val="000E2127"/>
    <w:rsid w:val="000E28C5"/>
    <w:rsid w:val="000E7C7C"/>
    <w:rsid w:val="000F0BC4"/>
    <w:rsid w:val="000F0D11"/>
    <w:rsid w:val="000F16AB"/>
    <w:rsid w:val="000F1B28"/>
    <w:rsid w:val="000F297F"/>
    <w:rsid w:val="000F3F5E"/>
    <w:rsid w:val="000F47CE"/>
    <w:rsid w:val="000F496B"/>
    <w:rsid w:val="000F4D98"/>
    <w:rsid w:val="000F75AD"/>
    <w:rsid w:val="001018F6"/>
    <w:rsid w:val="00101E32"/>
    <w:rsid w:val="0010262A"/>
    <w:rsid w:val="001033E1"/>
    <w:rsid w:val="00107A1F"/>
    <w:rsid w:val="0011239D"/>
    <w:rsid w:val="001171E6"/>
    <w:rsid w:val="001210B3"/>
    <w:rsid w:val="00125116"/>
    <w:rsid w:val="001332DB"/>
    <w:rsid w:val="00133E9C"/>
    <w:rsid w:val="001371DB"/>
    <w:rsid w:val="00137C24"/>
    <w:rsid w:val="00140048"/>
    <w:rsid w:val="001418B9"/>
    <w:rsid w:val="00145572"/>
    <w:rsid w:val="001479C7"/>
    <w:rsid w:val="00147D90"/>
    <w:rsid w:val="0015100A"/>
    <w:rsid w:val="00152A78"/>
    <w:rsid w:val="0015355E"/>
    <w:rsid w:val="001545DD"/>
    <w:rsid w:val="00155C7F"/>
    <w:rsid w:val="00156C1B"/>
    <w:rsid w:val="0016046E"/>
    <w:rsid w:val="00163C91"/>
    <w:rsid w:val="001715E5"/>
    <w:rsid w:val="00171A6C"/>
    <w:rsid w:val="001743FB"/>
    <w:rsid w:val="00176DDF"/>
    <w:rsid w:val="001833AE"/>
    <w:rsid w:val="00184774"/>
    <w:rsid w:val="001867EE"/>
    <w:rsid w:val="00187096"/>
    <w:rsid w:val="00193261"/>
    <w:rsid w:val="00193438"/>
    <w:rsid w:val="00195661"/>
    <w:rsid w:val="00197F48"/>
    <w:rsid w:val="001A10EC"/>
    <w:rsid w:val="001A43C1"/>
    <w:rsid w:val="001A66C8"/>
    <w:rsid w:val="001A7374"/>
    <w:rsid w:val="001B034B"/>
    <w:rsid w:val="001B3F32"/>
    <w:rsid w:val="001B75C9"/>
    <w:rsid w:val="001C003A"/>
    <w:rsid w:val="001C56A7"/>
    <w:rsid w:val="001C6F98"/>
    <w:rsid w:val="001D067E"/>
    <w:rsid w:val="001D0A2E"/>
    <w:rsid w:val="001D0F9E"/>
    <w:rsid w:val="001D544D"/>
    <w:rsid w:val="001D639D"/>
    <w:rsid w:val="001D74FE"/>
    <w:rsid w:val="001E30A1"/>
    <w:rsid w:val="001E43D5"/>
    <w:rsid w:val="001E49C4"/>
    <w:rsid w:val="001E4C5E"/>
    <w:rsid w:val="001E5C8A"/>
    <w:rsid w:val="001E62D0"/>
    <w:rsid w:val="001F4870"/>
    <w:rsid w:val="001F6184"/>
    <w:rsid w:val="001F7854"/>
    <w:rsid w:val="001F7BA8"/>
    <w:rsid w:val="0020003F"/>
    <w:rsid w:val="00200CEF"/>
    <w:rsid w:val="002038C5"/>
    <w:rsid w:val="00204619"/>
    <w:rsid w:val="00211247"/>
    <w:rsid w:val="00215089"/>
    <w:rsid w:val="002168AB"/>
    <w:rsid w:val="002200FD"/>
    <w:rsid w:val="0022526B"/>
    <w:rsid w:val="00225597"/>
    <w:rsid w:val="00225AE3"/>
    <w:rsid w:val="002309F9"/>
    <w:rsid w:val="00231587"/>
    <w:rsid w:val="00232AC4"/>
    <w:rsid w:val="002333DB"/>
    <w:rsid w:val="00234F13"/>
    <w:rsid w:val="002362FC"/>
    <w:rsid w:val="002364F7"/>
    <w:rsid w:val="00237BC4"/>
    <w:rsid w:val="00240AAF"/>
    <w:rsid w:val="00241669"/>
    <w:rsid w:val="00241BBC"/>
    <w:rsid w:val="00241EC1"/>
    <w:rsid w:val="00251FD1"/>
    <w:rsid w:val="00252D58"/>
    <w:rsid w:val="002571C2"/>
    <w:rsid w:val="0025727E"/>
    <w:rsid w:val="002608BD"/>
    <w:rsid w:val="00261E75"/>
    <w:rsid w:val="0026375C"/>
    <w:rsid w:val="00264384"/>
    <w:rsid w:val="00264A3A"/>
    <w:rsid w:val="00265E36"/>
    <w:rsid w:val="00275355"/>
    <w:rsid w:val="00280299"/>
    <w:rsid w:val="002813DD"/>
    <w:rsid w:val="00281E54"/>
    <w:rsid w:val="00283C46"/>
    <w:rsid w:val="00290B7B"/>
    <w:rsid w:val="002916D2"/>
    <w:rsid w:val="00292787"/>
    <w:rsid w:val="00292B17"/>
    <w:rsid w:val="00294185"/>
    <w:rsid w:val="00294B0A"/>
    <w:rsid w:val="00295415"/>
    <w:rsid w:val="00295DEF"/>
    <w:rsid w:val="0029660A"/>
    <w:rsid w:val="002A0303"/>
    <w:rsid w:val="002A174D"/>
    <w:rsid w:val="002A1BF6"/>
    <w:rsid w:val="002A2452"/>
    <w:rsid w:val="002B09B0"/>
    <w:rsid w:val="002B3F36"/>
    <w:rsid w:val="002B6A9F"/>
    <w:rsid w:val="002B7545"/>
    <w:rsid w:val="002B75F6"/>
    <w:rsid w:val="002C1803"/>
    <w:rsid w:val="002C2B2F"/>
    <w:rsid w:val="002C46A5"/>
    <w:rsid w:val="002C5379"/>
    <w:rsid w:val="002D18C7"/>
    <w:rsid w:val="002D59EC"/>
    <w:rsid w:val="002D759A"/>
    <w:rsid w:val="002E050D"/>
    <w:rsid w:val="002E2E8C"/>
    <w:rsid w:val="002E407F"/>
    <w:rsid w:val="002E506B"/>
    <w:rsid w:val="002E5F4B"/>
    <w:rsid w:val="002F01B6"/>
    <w:rsid w:val="002F0895"/>
    <w:rsid w:val="002F31F4"/>
    <w:rsid w:val="002F6FF7"/>
    <w:rsid w:val="003003DB"/>
    <w:rsid w:val="003027FF"/>
    <w:rsid w:val="00311C93"/>
    <w:rsid w:val="00311E06"/>
    <w:rsid w:val="003131C3"/>
    <w:rsid w:val="003166B4"/>
    <w:rsid w:val="00316AE1"/>
    <w:rsid w:val="00317421"/>
    <w:rsid w:val="00317CB5"/>
    <w:rsid w:val="00320348"/>
    <w:rsid w:val="00322073"/>
    <w:rsid w:val="00323DD6"/>
    <w:rsid w:val="00330656"/>
    <w:rsid w:val="003306E5"/>
    <w:rsid w:val="0033126B"/>
    <w:rsid w:val="0033180A"/>
    <w:rsid w:val="00332560"/>
    <w:rsid w:val="00332D67"/>
    <w:rsid w:val="00344462"/>
    <w:rsid w:val="0034542D"/>
    <w:rsid w:val="00345FE7"/>
    <w:rsid w:val="00346D3C"/>
    <w:rsid w:val="00350DDD"/>
    <w:rsid w:val="00350F4E"/>
    <w:rsid w:val="00354330"/>
    <w:rsid w:val="003569E7"/>
    <w:rsid w:val="003579E3"/>
    <w:rsid w:val="00364813"/>
    <w:rsid w:val="003663D8"/>
    <w:rsid w:val="0036757B"/>
    <w:rsid w:val="00370847"/>
    <w:rsid w:val="00371D82"/>
    <w:rsid w:val="00371F39"/>
    <w:rsid w:val="00376B6E"/>
    <w:rsid w:val="00383125"/>
    <w:rsid w:val="00383EA8"/>
    <w:rsid w:val="00384EA3"/>
    <w:rsid w:val="003870DE"/>
    <w:rsid w:val="0038739F"/>
    <w:rsid w:val="00390E9C"/>
    <w:rsid w:val="00391041"/>
    <w:rsid w:val="003914D7"/>
    <w:rsid w:val="00391A50"/>
    <w:rsid w:val="003929A7"/>
    <w:rsid w:val="00393CC0"/>
    <w:rsid w:val="00394141"/>
    <w:rsid w:val="003945BF"/>
    <w:rsid w:val="003963D6"/>
    <w:rsid w:val="00397744"/>
    <w:rsid w:val="003A1744"/>
    <w:rsid w:val="003A5915"/>
    <w:rsid w:val="003B10A9"/>
    <w:rsid w:val="003B17F8"/>
    <w:rsid w:val="003B2976"/>
    <w:rsid w:val="003B3972"/>
    <w:rsid w:val="003B4DBB"/>
    <w:rsid w:val="003B5C4C"/>
    <w:rsid w:val="003B5CC3"/>
    <w:rsid w:val="003B60BF"/>
    <w:rsid w:val="003B77C2"/>
    <w:rsid w:val="003C27F8"/>
    <w:rsid w:val="003C3F83"/>
    <w:rsid w:val="003C6BEA"/>
    <w:rsid w:val="003D0868"/>
    <w:rsid w:val="003D4965"/>
    <w:rsid w:val="003D54AC"/>
    <w:rsid w:val="003D782E"/>
    <w:rsid w:val="003E38E5"/>
    <w:rsid w:val="003E5E87"/>
    <w:rsid w:val="003E6BBA"/>
    <w:rsid w:val="003E7932"/>
    <w:rsid w:val="003F5752"/>
    <w:rsid w:val="003F5DDE"/>
    <w:rsid w:val="003F71D4"/>
    <w:rsid w:val="003F7613"/>
    <w:rsid w:val="0040125F"/>
    <w:rsid w:val="00407684"/>
    <w:rsid w:val="0041330C"/>
    <w:rsid w:val="00413DA4"/>
    <w:rsid w:val="00414603"/>
    <w:rsid w:val="00424370"/>
    <w:rsid w:val="004243E5"/>
    <w:rsid w:val="004244F4"/>
    <w:rsid w:val="00427426"/>
    <w:rsid w:val="004302D3"/>
    <w:rsid w:val="00431F5D"/>
    <w:rsid w:val="00433AEB"/>
    <w:rsid w:val="00433C85"/>
    <w:rsid w:val="00435700"/>
    <w:rsid w:val="004361D1"/>
    <w:rsid w:val="00437387"/>
    <w:rsid w:val="00440032"/>
    <w:rsid w:val="004409B9"/>
    <w:rsid w:val="004421DB"/>
    <w:rsid w:val="00442A85"/>
    <w:rsid w:val="00443916"/>
    <w:rsid w:val="00445FF2"/>
    <w:rsid w:val="0044721E"/>
    <w:rsid w:val="00450342"/>
    <w:rsid w:val="00453573"/>
    <w:rsid w:val="004558ED"/>
    <w:rsid w:val="0045707D"/>
    <w:rsid w:val="0046516B"/>
    <w:rsid w:val="004664AD"/>
    <w:rsid w:val="00467E46"/>
    <w:rsid w:val="004713C0"/>
    <w:rsid w:val="0047409B"/>
    <w:rsid w:val="00475B38"/>
    <w:rsid w:val="004843C1"/>
    <w:rsid w:val="00484F19"/>
    <w:rsid w:val="00490805"/>
    <w:rsid w:val="00492C76"/>
    <w:rsid w:val="00496C71"/>
    <w:rsid w:val="00497430"/>
    <w:rsid w:val="004A7BA4"/>
    <w:rsid w:val="004A7F4B"/>
    <w:rsid w:val="004B11B7"/>
    <w:rsid w:val="004B6666"/>
    <w:rsid w:val="004C13CE"/>
    <w:rsid w:val="004C20A1"/>
    <w:rsid w:val="004D2BBB"/>
    <w:rsid w:val="004D3D06"/>
    <w:rsid w:val="004E0369"/>
    <w:rsid w:val="004E0DFA"/>
    <w:rsid w:val="004E193F"/>
    <w:rsid w:val="004E2231"/>
    <w:rsid w:val="004E22A8"/>
    <w:rsid w:val="004E272D"/>
    <w:rsid w:val="004E4DE7"/>
    <w:rsid w:val="004E57CF"/>
    <w:rsid w:val="004E7293"/>
    <w:rsid w:val="004E7998"/>
    <w:rsid w:val="004E79E3"/>
    <w:rsid w:val="004F0317"/>
    <w:rsid w:val="004F3678"/>
    <w:rsid w:val="004F6CB7"/>
    <w:rsid w:val="004F7569"/>
    <w:rsid w:val="005063CC"/>
    <w:rsid w:val="005111C8"/>
    <w:rsid w:val="00513EBA"/>
    <w:rsid w:val="005149DF"/>
    <w:rsid w:val="005223DF"/>
    <w:rsid w:val="00523999"/>
    <w:rsid w:val="00526E34"/>
    <w:rsid w:val="00530916"/>
    <w:rsid w:val="00532057"/>
    <w:rsid w:val="00537AC0"/>
    <w:rsid w:val="005404D8"/>
    <w:rsid w:val="00542B35"/>
    <w:rsid w:val="00542BED"/>
    <w:rsid w:val="005502FA"/>
    <w:rsid w:val="00552D23"/>
    <w:rsid w:val="0055589C"/>
    <w:rsid w:val="005577A6"/>
    <w:rsid w:val="005638E6"/>
    <w:rsid w:val="005649AF"/>
    <w:rsid w:val="00564F37"/>
    <w:rsid w:val="005651F7"/>
    <w:rsid w:val="00567394"/>
    <w:rsid w:val="005723D7"/>
    <w:rsid w:val="005730F4"/>
    <w:rsid w:val="005739E7"/>
    <w:rsid w:val="0057496D"/>
    <w:rsid w:val="00576368"/>
    <w:rsid w:val="005766A7"/>
    <w:rsid w:val="00584376"/>
    <w:rsid w:val="00584ACC"/>
    <w:rsid w:val="00591274"/>
    <w:rsid w:val="00591B93"/>
    <w:rsid w:val="005945F8"/>
    <w:rsid w:val="005A00DB"/>
    <w:rsid w:val="005A1938"/>
    <w:rsid w:val="005A3500"/>
    <w:rsid w:val="005A60EC"/>
    <w:rsid w:val="005A653D"/>
    <w:rsid w:val="005A7047"/>
    <w:rsid w:val="005A7225"/>
    <w:rsid w:val="005A7461"/>
    <w:rsid w:val="005A7BE8"/>
    <w:rsid w:val="005B2130"/>
    <w:rsid w:val="005B5926"/>
    <w:rsid w:val="005B7289"/>
    <w:rsid w:val="005C1123"/>
    <w:rsid w:val="005C23EF"/>
    <w:rsid w:val="005C35AC"/>
    <w:rsid w:val="005C4E2F"/>
    <w:rsid w:val="005C52BE"/>
    <w:rsid w:val="005D1980"/>
    <w:rsid w:val="005D3A4B"/>
    <w:rsid w:val="005D44D2"/>
    <w:rsid w:val="005D57FA"/>
    <w:rsid w:val="005D794A"/>
    <w:rsid w:val="005D7C84"/>
    <w:rsid w:val="005E0232"/>
    <w:rsid w:val="005E10EB"/>
    <w:rsid w:val="005E1C0C"/>
    <w:rsid w:val="005E2089"/>
    <w:rsid w:val="005E6030"/>
    <w:rsid w:val="005F1329"/>
    <w:rsid w:val="005F1DDF"/>
    <w:rsid w:val="005F3BFF"/>
    <w:rsid w:val="005F5AF1"/>
    <w:rsid w:val="005F5FD7"/>
    <w:rsid w:val="006010EB"/>
    <w:rsid w:val="0060440A"/>
    <w:rsid w:val="0060504C"/>
    <w:rsid w:val="0060648C"/>
    <w:rsid w:val="00606B80"/>
    <w:rsid w:val="006108C1"/>
    <w:rsid w:val="006109FF"/>
    <w:rsid w:val="0061291E"/>
    <w:rsid w:val="006147E8"/>
    <w:rsid w:val="0061517C"/>
    <w:rsid w:val="006171C0"/>
    <w:rsid w:val="0061763A"/>
    <w:rsid w:val="0062172C"/>
    <w:rsid w:val="0062272B"/>
    <w:rsid w:val="00624F99"/>
    <w:rsid w:val="006269D3"/>
    <w:rsid w:val="00627E24"/>
    <w:rsid w:val="00640F4B"/>
    <w:rsid w:val="006416EB"/>
    <w:rsid w:val="00641D71"/>
    <w:rsid w:val="00646E8D"/>
    <w:rsid w:val="006522CF"/>
    <w:rsid w:val="00652A0B"/>
    <w:rsid w:val="006531BC"/>
    <w:rsid w:val="00655B8E"/>
    <w:rsid w:val="00656002"/>
    <w:rsid w:val="00663520"/>
    <w:rsid w:val="0066738A"/>
    <w:rsid w:val="006713C5"/>
    <w:rsid w:val="006768B7"/>
    <w:rsid w:val="00676EAE"/>
    <w:rsid w:val="00681C5A"/>
    <w:rsid w:val="006823DE"/>
    <w:rsid w:val="00685097"/>
    <w:rsid w:val="0069154C"/>
    <w:rsid w:val="00692685"/>
    <w:rsid w:val="0069376A"/>
    <w:rsid w:val="006A0AA3"/>
    <w:rsid w:val="006A402B"/>
    <w:rsid w:val="006A487B"/>
    <w:rsid w:val="006B2974"/>
    <w:rsid w:val="006B321A"/>
    <w:rsid w:val="006B3CB4"/>
    <w:rsid w:val="006C2CCF"/>
    <w:rsid w:val="006C3420"/>
    <w:rsid w:val="006C4216"/>
    <w:rsid w:val="006C50DF"/>
    <w:rsid w:val="006C5241"/>
    <w:rsid w:val="006C572C"/>
    <w:rsid w:val="006D1A83"/>
    <w:rsid w:val="006D5328"/>
    <w:rsid w:val="006E2582"/>
    <w:rsid w:val="006E2D86"/>
    <w:rsid w:val="006E74D1"/>
    <w:rsid w:val="0070280D"/>
    <w:rsid w:val="00705889"/>
    <w:rsid w:val="00707F1F"/>
    <w:rsid w:val="0071131B"/>
    <w:rsid w:val="00711440"/>
    <w:rsid w:val="00711812"/>
    <w:rsid w:val="00714B54"/>
    <w:rsid w:val="00716AFD"/>
    <w:rsid w:val="00726F82"/>
    <w:rsid w:val="00732E10"/>
    <w:rsid w:val="007334ED"/>
    <w:rsid w:val="0073453A"/>
    <w:rsid w:val="0073705A"/>
    <w:rsid w:val="0074043D"/>
    <w:rsid w:val="00742CE1"/>
    <w:rsid w:val="007479D3"/>
    <w:rsid w:val="00747F27"/>
    <w:rsid w:val="00750320"/>
    <w:rsid w:val="00753CE8"/>
    <w:rsid w:val="0075419D"/>
    <w:rsid w:val="00761441"/>
    <w:rsid w:val="007637D1"/>
    <w:rsid w:val="007637F7"/>
    <w:rsid w:val="00763CBF"/>
    <w:rsid w:val="00767CB9"/>
    <w:rsid w:val="00767FC8"/>
    <w:rsid w:val="00775127"/>
    <w:rsid w:val="00775837"/>
    <w:rsid w:val="0077691C"/>
    <w:rsid w:val="00784C2B"/>
    <w:rsid w:val="007860F7"/>
    <w:rsid w:val="00786A34"/>
    <w:rsid w:val="00790B5D"/>
    <w:rsid w:val="00791C7B"/>
    <w:rsid w:val="00794371"/>
    <w:rsid w:val="00796B8B"/>
    <w:rsid w:val="007979C5"/>
    <w:rsid w:val="007A0BCD"/>
    <w:rsid w:val="007A1EF6"/>
    <w:rsid w:val="007A3910"/>
    <w:rsid w:val="007A570D"/>
    <w:rsid w:val="007A6EDF"/>
    <w:rsid w:val="007A7A17"/>
    <w:rsid w:val="007B0E0C"/>
    <w:rsid w:val="007B1637"/>
    <w:rsid w:val="007B22E8"/>
    <w:rsid w:val="007B2466"/>
    <w:rsid w:val="007B40F7"/>
    <w:rsid w:val="007B58CE"/>
    <w:rsid w:val="007C0799"/>
    <w:rsid w:val="007C1CA9"/>
    <w:rsid w:val="007C2979"/>
    <w:rsid w:val="007C4DF0"/>
    <w:rsid w:val="007C5465"/>
    <w:rsid w:val="007C6270"/>
    <w:rsid w:val="007C77EE"/>
    <w:rsid w:val="007D2181"/>
    <w:rsid w:val="007D28D6"/>
    <w:rsid w:val="007D3C3C"/>
    <w:rsid w:val="007D5AFA"/>
    <w:rsid w:val="007D737D"/>
    <w:rsid w:val="007D7451"/>
    <w:rsid w:val="007D7BFA"/>
    <w:rsid w:val="007E4304"/>
    <w:rsid w:val="007E6E07"/>
    <w:rsid w:val="007F1511"/>
    <w:rsid w:val="007F359A"/>
    <w:rsid w:val="0080092A"/>
    <w:rsid w:val="00800D49"/>
    <w:rsid w:val="0080178B"/>
    <w:rsid w:val="008024A9"/>
    <w:rsid w:val="00802DF8"/>
    <w:rsid w:val="00803D7A"/>
    <w:rsid w:val="008055A5"/>
    <w:rsid w:val="00811703"/>
    <w:rsid w:val="008132F6"/>
    <w:rsid w:val="008134F3"/>
    <w:rsid w:val="00816119"/>
    <w:rsid w:val="0081740D"/>
    <w:rsid w:val="0081766A"/>
    <w:rsid w:val="0082001C"/>
    <w:rsid w:val="00820A2E"/>
    <w:rsid w:val="00822509"/>
    <w:rsid w:val="00823DCA"/>
    <w:rsid w:val="00824E5E"/>
    <w:rsid w:val="0082776C"/>
    <w:rsid w:val="00832983"/>
    <w:rsid w:val="00832A73"/>
    <w:rsid w:val="0083353F"/>
    <w:rsid w:val="0083719B"/>
    <w:rsid w:val="00837D25"/>
    <w:rsid w:val="00837E8A"/>
    <w:rsid w:val="008417D9"/>
    <w:rsid w:val="008418FB"/>
    <w:rsid w:val="00842340"/>
    <w:rsid w:val="00842DC8"/>
    <w:rsid w:val="008445AD"/>
    <w:rsid w:val="00844FEC"/>
    <w:rsid w:val="00850854"/>
    <w:rsid w:val="0085536F"/>
    <w:rsid w:val="0085600B"/>
    <w:rsid w:val="0085606F"/>
    <w:rsid w:val="0085741A"/>
    <w:rsid w:val="00861ACA"/>
    <w:rsid w:val="00862435"/>
    <w:rsid w:val="008648D2"/>
    <w:rsid w:val="0086578E"/>
    <w:rsid w:val="0086682F"/>
    <w:rsid w:val="008677ED"/>
    <w:rsid w:val="00872CA1"/>
    <w:rsid w:val="0087386E"/>
    <w:rsid w:val="00874157"/>
    <w:rsid w:val="008748B6"/>
    <w:rsid w:val="00884636"/>
    <w:rsid w:val="00890C89"/>
    <w:rsid w:val="0089165C"/>
    <w:rsid w:val="00892D85"/>
    <w:rsid w:val="00896A9A"/>
    <w:rsid w:val="00896CC3"/>
    <w:rsid w:val="0089767D"/>
    <w:rsid w:val="008A32B8"/>
    <w:rsid w:val="008A4C39"/>
    <w:rsid w:val="008A5D43"/>
    <w:rsid w:val="008B0111"/>
    <w:rsid w:val="008B0DCF"/>
    <w:rsid w:val="008B1647"/>
    <w:rsid w:val="008B423D"/>
    <w:rsid w:val="008B5B84"/>
    <w:rsid w:val="008C1FA1"/>
    <w:rsid w:val="008C3A20"/>
    <w:rsid w:val="008C3F3B"/>
    <w:rsid w:val="008C4A54"/>
    <w:rsid w:val="008C4A6A"/>
    <w:rsid w:val="008D1947"/>
    <w:rsid w:val="008D2895"/>
    <w:rsid w:val="008D44BB"/>
    <w:rsid w:val="008D4CEA"/>
    <w:rsid w:val="008E0A32"/>
    <w:rsid w:val="008E1A42"/>
    <w:rsid w:val="008E1FAB"/>
    <w:rsid w:val="008E405D"/>
    <w:rsid w:val="008E59DB"/>
    <w:rsid w:val="008E66DA"/>
    <w:rsid w:val="008F3498"/>
    <w:rsid w:val="008F59D1"/>
    <w:rsid w:val="0090296C"/>
    <w:rsid w:val="00905633"/>
    <w:rsid w:val="009078A1"/>
    <w:rsid w:val="00910149"/>
    <w:rsid w:val="00910254"/>
    <w:rsid w:val="0091350F"/>
    <w:rsid w:val="00920595"/>
    <w:rsid w:val="00923CE0"/>
    <w:rsid w:val="009240D5"/>
    <w:rsid w:val="00925B1E"/>
    <w:rsid w:val="00935C0F"/>
    <w:rsid w:val="00937420"/>
    <w:rsid w:val="009424EC"/>
    <w:rsid w:val="00946D1E"/>
    <w:rsid w:val="00947C45"/>
    <w:rsid w:val="00950FF2"/>
    <w:rsid w:val="0095348D"/>
    <w:rsid w:val="009560E1"/>
    <w:rsid w:val="0096222F"/>
    <w:rsid w:val="00964B11"/>
    <w:rsid w:val="00967E72"/>
    <w:rsid w:val="00970263"/>
    <w:rsid w:val="009705B8"/>
    <w:rsid w:val="00973D1B"/>
    <w:rsid w:val="00976171"/>
    <w:rsid w:val="00977FBD"/>
    <w:rsid w:val="00982395"/>
    <w:rsid w:val="00987563"/>
    <w:rsid w:val="00987BB3"/>
    <w:rsid w:val="00990FCD"/>
    <w:rsid w:val="00992808"/>
    <w:rsid w:val="00993B78"/>
    <w:rsid w:val="00994C41"/>
    <w:rsid w:val="00996FEE"/>
    <w:rsid w:val="009A1760"/>
    <w:rsid w:val="009A5049"/>
    <w:rsid w:val="009A5F65"/>
    <w:rsid w:val="009A6E03"/>
    <w:rsid w:val="009B0CE7"/>
    <w:rsid w:val="009B1312"/>
    <w:rsid w:val="009B3692"/>
    <w:rsid w:val="009B6415"/>
    <w:rsid w:val="009C340C"/>
    <w:rsid w:val="009C753E"/>
    <w:rsid w:val="009C7DED"/>
    <w:rsid w:val="009D12F5"/>
    <w:rsid w:val="009D1F91"/>
    <w:rsid w:val="009D6D8F"/>
    <w:rsid w:val="009E0C9D"/>
    <w:rsid w:val="009E3F2E"/>
    <w:rsid w:val="009E429A"/>
    <w:rsid w:val="009E6A73"/>
    <w:rsid w:val="009E7205"/>
    <w:rsid w:val="009E78ED"/>
    <w:rsid w:val="009F0D44"/>
    <w:rsid w:val="009F4460"/>
    <w:rsid w:val="009F53A0"/>
    <w:rsid w:val="009F685E"/>
    <w:rsid w:val="009F7851"/>
    <w:rsid w:val="00A01BE4"/>
    <w:rsid w:val="00A02283"/>
    <w:rsid w:val="00A0229E"/>
    <w:rsid w:val="00A025F2"/>
    <w:rsid w:val="00A02F8D"/>
    <w:rsid w:val="00A061F3"/>
    <w:rsid w:val="00A1066F"/>
    <w:rsid w:val="00A15579"/>
    <w:rsid w:val="00A17515"/>
    <w:rsid w:val="00A20548"/>
    <w:rsid w:val="00A25048"/>
    <w:rsid w:val="00A2532A"/>
    <w:rsid w:val="00A254B5"/>
    <w:rsid w:val="00A259E9"/>
    <w:rsid w:val="00A30636"/>
    <w:rsid w:val="00A30C99"/>
    <w:rsid w:val="00A31828"/>
    <w:rsid w:val="00A32771"/>
    <w:rsid w:val="00A352AD"/>
    <w:rsid w:val="00A35D83"/>
    <w:rsid w:val="00A403B5"/>
    <w:rsid w:val="00A41958"/>
    <w:rsid w:val="00A435EC"/>
    <w:rsid w:val="00A43857"/>
    <w:rsid w:val="00A56071"/>
    <w:rsid w:val="00A62C66"/>
    <w:rsid w:val="00A646BE"/>
    <w:rsid w:val="00A64ADB"/>
    <w:rsid w:val="00A64ED9"/>
    <w:rsid w:val="00A65194"/>
    <w:rsid w:val="00A658BD"/>
    <w:rsid w:val="00A66215"/>
    <w:rsid w:val="00A6648D"/>
    <w:rsid w:val="00A77B96"/>
    <w:rsid w:val="00A8387D"/>
    <w:rsid w:val="00A85B10"/>
    <w:rsid w:val="00A86C22"/>
    <w:rsid w:val="00A8710E"/>
    <w:rsid w:val="00A92EA5"/>
    <w:rsid w:val="00A9341B"/>
    <w:rsid w:val="00A97127"/>
    <w:rsid w:val="00AA0761"/>
    <w:rsid w:val="00AA2177"/>
    <w:rsid w:val="00AA556F"/>
    <w:rsid w:val="00AB2A6D"/>
    <w:rsid w:val="00AB2AC2"/>
    <w:rsid w:val="00AB5BED"/>
    <w:rsid w:val="00AB74C0"/>
    <w:rsid w:val="00AC4D5B"/>
    <w:rsid w:val="00AC5031"/>
    <w:rsid w:val="00AC5864"/>
    <w:rsid w:val="00AD13F8"/>
    <w:rsid w:val="00AD4263"/>
    <w:rsid w:val="00AD4DBD"/>
    <w:rsid w:val="00AD64FD"/>
    <w:rsid w:val="00AD6E4F"/>
    <w:rsid w:val="00AD7B1C"/>
    <w:rsid w:val="00AD7D35"/>
    <w:rsid w:val="00AE07C7"/>
    <w:rsid w:val="00AE0C08"/>
    <w:rsid w:val="00AE237F"/>
    <w:rsid w:val="00AE310E"/>
    <w:rsid w:val="00AF0AC7"/>
    <w:rsid w:val="00AF1288"/>
    <w:rsid w:val="00AF2826"/>
    <w:rsid w:val="00AF37AD"/>
    <w:rsid w:val="00AF583B"/>
    <w:rsid w:val="00B0034A"/>
    <w:rsid w:val="00B01682"/>
    <w:rsid w:val="00B03936"/>
    <w:rsid w:val="00B042F4"/>
    <w:rsid w:val="00B06DF3"/>
    <w:rsid w:val="00B10FF2"/>
    <w:rsid w:val="00B139F5"/>
    <w:rsid w:val="00B17AE9"/>
    <w:rsid w:val="00B24A51"/>
    <w:rsid w:val="00B25972"/>
    <w:rsid w:val="00B2677D"/>
    <w:rsid w:val="00B30B3E"/>
    <w:rsid w:val="00B32A6D"/>
    <w:rsid w:val="00B34B14"/>
    <w:rsid w:val="00B34D8A"/>
    <w:rsid w:val="00B4235E"/>
    <w:rsid w:val="00B46276"/>
    <w:rsid w:val="00B548F6"/>
    <w:rsid w:val="00B5543B"/>
    <w:rsid w:val="00B564A4"/>
    <w:rsid w:val="00B568D6"/>
    <w:rsid w:val="00B5752B"/>
    <w:rsid w:val="00B57B1F"/>
    <w:rsid w:val="00B60F1D"/>
    <w:rsid w:val="00B621B6"/>
    <w:rsid w:val="00B630A5"/>
    <w:rsid w:val="00B64935"/>
    <w:rsid w:val="00B70326"/>
    <w:rsid w:val="00B71C88"/>
    <w:rsid w:val="00B73C77"/>
    <w:rsid w:val="00B74B4B"/>
    <w:rsid w:val="00B75D37"/>
    <w:rsid w:val="00B82107"/>
    <w:rsid w:val="00B83869"/>
    <w:rsid w:val="00B85167"/>
    <w:rsid w:val="00B87E95"/>
    <w:rsid w:val="00B90D54"/>
    <w:rsid w:val="00B92D96"/>
    <w:rsid w:val="00B936D8"/>
    <w:rsid w:val="00B95B4D"/>
    <w:rsid w:val="00BA0152"/>
    <w:rsid w:val="00BA0223"/>
    <w:rsid w:val="00BA0AEA"/>
    <w:rsid w:val="00BA1221"/>
    <w:rsid w:val="00BA57C0"/>
    <w:rsid w:val="00BB1F0D"/>
    <w:rsid w:val="00BB2739"/>
    <w:rsid w:val="00BB41CE"/>
    <w:rsid w:val="00BB44C7"/>
    <w:rsid w:val="00BC093F"/>
    <w:rsid w:val="00BC0C92"/>
    <w:rsid w:val="00BC184E"/>
    <w:rsid w:val="00BD1BE0"/>
    <w:rsid w:val="00BD4780"/>
    <w:rsid w:val="00BD49E8"/>
    <w:rsid w:val="00BE4964"/>
    <w:rsid w:val="00BE4BEB"/>
    <w:rsid w:val="00BE583F"/>
    <w:rsid w:val="00BE65A3"/>
    <w:rsid w:val="00BE66F8"/>
    <w:rsid w:val="00BE6CC7"/>
    <w:rsid w:val="00BE75A6"/>
    <w:rsid w:val="00BF0F1F"/>
    <w:rsid w:val="00BF1EE6"/>
    <w:rsid w:val="00BF2D82"/>
    <w:rsid w:val="00BF74F6"/>
    <w:rsid w:val="00BF78F5"/>
    <w:rsid w:val="00C01849"/>
    <w:rsid w:val="00C035EB"/>
    <w:rsid w:val="00C03F35"/>
    <w:rsid w:val="00C127B0"/>
    <w:rsid w:val="00C15C44"/>
    <w:rsid w:val="00C17374"/>
    <w:rsid w:val="00C176DC"/>
    <w:rsid w:val="00C21A22"/>
    <w:rsid w:val="00C2303A"/>
    <w:rsid w:val="00C236B7"/>
    <w:rsid w:val="00C2475F"/>
    <w:rsid w:val="00C25A7F"/>
    <w:rsid w:val="00C32825"/>
    <w:rsid w:val="00C32AB6"/>
    <w:rsid w:val="00C40324"/>
    <w:rsid w:val="00C408C0"/>
    <w:rsid w:val="00C42807"/>
    <w:rsid w:val="00C44984"/>
    <w:rsid w:val="00C4538F"/>
    <w:rsid w:val="00C4708D"/>
    <w:rsid w:val="00C5274B"/>
    <w:rsid w:val="00C5768B"/>
    <w:rsid w:val="00C61988"/>
    <w:rsid w:val="00C65555"/>
    <w:rsid w:val="00C6635F"/>
    <w:rsid w:val="00C72480"/>
    <w:rsid w:val="00C73477"/>
    <w:rsid w:val="00C815AA"/>
    <w:rsid w:val="00C82C86"/>
    <w:rsid w:val="00C8379E"/>
    <w:rsid w:val="00C85798"/>
    <w:rsid w:val="00C8746D"/>
    <w:rsid w:val="00C9149C"/>
    <w:rsid w:val="00C92C15"/>
    <w:rsid w:val="00C961AB"/>
    <w:rsid w:val="00C9799C"/>
    <w:rsid w:val="00C97EF4"/>
    <w:rsid w:val="00CA16BE"/>
    <w:rsid w:val="00CA209A"/>
    <w:rsid w:val="00CA20AC"/>
    <w:rsid w:val="00CA49C4"/>
    <w:rsid w:val="00CA649D"/>
    <w:rsid w:val="00CA6E6C"/>
    <w:rsid w:val="00CB07C1"/>
    <w:rsid w:val="00CB2928"/>
    <w:rsid w:val="00CB6D81"/>
    <w:rsid w:val="00CC49C4"/>
    <w:rsid w:val="00CE046D"/>
    <w:rsid w:val="00CE17D5"/>
    <w:rsid w:val="00CE5A08"/>
    <w:rsid w:val="00CF1034"/>
    <w:rsid w:val="00D029E5"/>
    <w:rsid w:val="00D04DD1"/>
    <w:rsid w:val="00D06141"/>
    <w:rsid w:val="00D12E14"/>
    <w:rsid w:val="00D20FA1"/>
    <w:rsid w:val="00D2112F"/>
    <w:rsid w:val="00D22609"/>
    <w:rsid w:val="00D236F6"/>
    <w:rsid w:val="00D24AAA"/>
    <w:rsid w:val="00D262AE"/>
    <w:rsid w:val="00D2796D"/>
    <w:rsid w:val="00D27DC8"/>
    <w:rsid w:val="00D3027D"/>
    <w:rsid w:val="00D36C46"/>
    <w:rsid w:val="00D404AE"/>
    <w:rsid w:val="00D45701"/>
    <w:rsid w:val="00D46385"/>
    <w:rsid w:val="00D54D2D"/>
    <w:rsid w:val="00D56D13"/>
    <w:rsid w:val="00D57252"/>
    <w:rsid w:val="00D63076"/>
    <w:rsid w:val="00D63BFC"/>
    <w:rsid w:val="00D64070"/>
    <w:rsid w:val="00D66B32"/>
    <w:rsid w:val="00D66E40"/>
    <w:rsid w:val="00D71328"/>
    <w:rsid w:val="00D91A6C"/>
    <w:rsid w:val="00D93AD6"/>
    <w:rsid w:val="00D963DD"/>
    <w:rsid w:val="00DA072C"/>
    <w:rsid w:val="00DA507F"/>
    <w:rsid w:val="00DA513A"/>
    <w:rsid w:val="00DA7C5D"/>
    <w:rsid w:val="00DB22FA"/>
    <w:rsid w:val="00DB4731"/>
    <w:rsid w:val="00DB498C"/>
    <w:rsid w:val="00DB4C54"/>
    <w:rsid w:val="00DB5775"/>
    <w:rsid w:val="00DC1E90"/>
    <w:rsid w:val="00DC3F3B"/>
    <w:rsid w:val="00DC40D7"/>
    <w:rsid w:val="00DC6A6A"/>
    <w:rsid w:val="00DC6BC8"/>
    <w:rsid w:val="00DD7705"/>
    <w:rsid w:val="00DE094E"/>
    <w:rsid w:val="00DE098E"/>
    <w:rsid w:val="00DE128C"/>
    <w:rsid w:val="00DE2910"/>
    <w:rsid w:val="00DE2F01"/>
    <w:rsid w:val="00DE43E9"/>
    <w:rsid w:val="00DE5614"/>
    <w:rsid w:val="00DE722E"/>
    <w:rsid w:val="00DF205D"/>
    <w:rsid w:val="00DF39A0"/>
    <w:rsid w:val="00DF5E29"/>
    <w:rsid w:val="00E00A59"/>
    <w:rsid w:val="00E03331"/>
    <w:rsid w:val="00E06AD2"/>
    <w:rsid w:val="00E14A9F"/>
    <w:rsid w:val="00E1541F"/>
    <w:rsid w:val="00E15B20"/>
    <w:rsid w:val="00E15BFC"/>
    <w:rsid w:val="00E2184C"/>
    <w:rsid w:val="00E21E8E"/>
    <w:rsid w:val="00E23EB8"/>
    <w:rsid w:val="00E2542C"/>
    <w:rsid w:val="00E279EC"/>
    <w:rsid w:val="00E30B48"/>
    <w:rsid w:val="00E30D0F"/>
    <w:rsid w:val="00E40754"/>
    <w:rsid w:val="00E44626"/>
    <w:rsid w:val="00E4591A"/>
    <w:rsid w:val="00E47141"/>
    <w:rsid w:val="00E56C88"/>
    <w:rsid w:val="00E604D9"/>
    <w:rsid w:val="00E63F29"/>
    <w:rsid w:val="00E64B45"/>
    <w:rsid w:val="00E65021"/>
    <w:rsid w:val="00E7068A"/>
    <w:rsid w:val="00E713DD"/>
    <w:rsid w:val="00E72D0F"/>
    <w:rsid w:val="00E74586"/>
    <w:rsid w:val="00E75D3E"/>
    <w:rsid w:val="00E75E6F"/>
    <w:rsid w:val="00E7733B"/>
    <w:rsid w:val="00E77DBC"/>
    <w:rsid w:val="00E804EA"/>
    <w:rsid w:val="00E80F3F"/>
    <w:rsid w:val="00E81449"/>
    <w:rsid w:val="00E82582"/>
    <w:rsid w:val="00E87EC7"/>
    <w:rsid w:val="00E95870"/>
    <w:rsid w:val="00E95C9B"/>
    <w:rsid w:val="00EA4127"/>
    <w:rsid w:val="00EA48F1"/>
    <w:rsid w:val="00EB025A"/>
    <w:rsid w:val="00EB655C"/>
    <w:rsid w:val="00EC1D09"/>
    <w:rsid w:val="00EC2094"/>
    <w:rsid w:val="00EC6FE5"/>
    <w:rsid w:val="00EC7546"/>
    <w:rsid w:val="00ED000C"/>
    <w:rsid w:val="00ED2D28"/>
    <w:rsid w:val="00ED5895"/>
    <w:rsid w:val="00ED729D"/>
    <w:rsid w:val="00EE0519"/>
    <w:rsid w:val="00EE4094"/>
    <w:rsid w:val="00EE4459"/>
    <w:rsid w:val="00EE6A3C"/>
    <w:rsid w:val="00EF2267"/>
    <w:rsid w:val="00EF2453"/>
    <w:rsid w:val="00EF4943"/>
    <w:rsid w:val="00EF4A51"/>
    <w:rsid w:val="00EF4F66"/>
    <w:rsid w:val="00EF591B"/>
    <w:rsid w:val="00F06139"/>
    <w:rsid w:val="00F23506"/>
    <w:rsid w:val="00F27917"/>
    <w:rsid w:val="00F316DF"/>
    <w:rsid w:val="00F31A55"/>
    <w:rsid w:val="00F34194"/>
    <w:rsid w:val="00F34688"/>
    <w:rsid w:val="00F352B7"/>
    <w:rsid w:val="00F3696F"/>
    <w:rsid w:val="00F4141C"/>
    <w:rsid w:val="00F425F5"/>
    <w:rsid w:val="00F43630"/>
    <w:rsid w:val="00F4363E"/>
    <w:rsid w:val="00F45FD2"/>
    <w:rsid w:val="00F462F1"/>
    <w:rsid w:val="00F51026"/>
    <w:rsid w:val="00F522EE"/>
    <w:rsid w:val="00F52CC4"/>
    <w:rsid w:val="00F53FD5"/>
    <w:rsid w:val="00F54C6E"/>
    <w:rsid w:val="00F55520"/>
    <w:rsid w:val="00F70F39"/>
    <w:rsid w:val="00F733B2"/>
    <w:rsid w:val="00F73F42"/>
    <w:rsid w:val="00F77278"/>
    <w:rsid w:val="00F82A80"/>
    <w:rsid w:val="00F84A01"/>
    <w:rsid w:val="00F85149"/>
    <w:rsid w:val="00F8589A"/>
    <w:rsid w:val="00F866F5"/>
    <w:rsid w:val="00F94F01"/>
    <w:rsid w:val="00F972DD"/>
    <w:rsid w:val="00FA50AD"/>
    <w:rsid w:val="00FA5E88"/>
    <w:rsid w:val="00FA69F4"/>
    <w:rsid w:val="00FA6B4C"/>
    <w:rsid w:val="00FB05B3"/>
    <w:rsid w:val="00FB0A79"/>
    <w:rsid w:val="00FB11D4"/>
    <w:rsid w:val="00FB4246"/>
    <w:rsid w:val="00FB6E45"/>
    <w:rsid w:val="00FC1946"/>
    <w:rsid w:val="00FC2E2D"/>
    <w:rsid w:val="00FC42B6"/>
    <w:rsid w:val="00FD2115"/>
    <w:rsid w:val="00FD599E"/>
    <w:rsid w:val="00FD6606"/>
    <w:rsid w:val="00FD6D10"/>
    <w:rsid w:val="00FE03FB"/>
    <w:rsid w:val="00FE2D8C"/>
    <w:rsid w:val="00FE3D66"/>
    <w:rsid w:val="00FE5831"/>
    <w:rsid w:val="00FE645E"/>
    <w:rsid w:val="00FE6704"/>
    <w:rsid w:val="00FE7357"/>
    <w:rsid w:val="00FF3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F9A74"/>
  <w15:docId w15:val="{DDD5133A-5D45-4499-BFFC-00F0ADC4B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19D"/>
    <w:pPr>
      <w:spacing w:before="0" w:beforeAutospacing="0" w:after="0" w:afterAutospacing="0"/>
    </w:pPr>
    <w:rPr>
      <w:rFonts w:ascii="Calibri" w:eastAsiaTheme="minorHAns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FD2115"/>
  </w:style>
  <w:style w:type="paragraph" w:styleId="BalloonText">
    <w:name w:val="Balloon Text"/>
    <w:basedOn w:val="Normal"/>
    <w:link w:val="BalloonTextChar"/>
    <w:uiPriority w:val="99"/>
    <w:semiHidden/>
    <w:unhideWhenUsed/>
    <w:rsid w:val="000C54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44F"/>
    <w:rPr>
      <w:rFonts w:ascii="Segoe UI" w:eastAsiaTheme="minorHAnsi" w:hAnsi="Segoe UI" w:cs="Segoe UI"/>
      <w:sz w:val="18"/>
      <w:szCs w:val="18"/>
    </w:rPr>
  </w:style>
  <w:style w:type="paragraph" w:styleId="ListParagraph">
    <w:name w:val="List Paragraph"/>
    <w:basedOn w:val="Normal"/>
    <w:uiPriority w:val="34"/>
    <w:qFormat/>
    <w:rsid w:val="00264384"/>
    <w:pPr>
      <w:ind w:left="720"/>
      <w:contextualSpacing/>
    </w:pPr>
  </w:style>
  <w:style w:type="character" w:styleId="Hyperlink">
    <w:name w:val="Hyperlink"/>
    <w:basedOn w:val="DefaultParagraphFont"/>
    <w:uiPriority w:val="99"/>
    <w:unhideWhenUsed/>
    <w:rsid w:val="00A02283"/>
    <w:rPr>
      <w:color w:val="0563C1" w:themeColor="hyperlink"/>
      <w:u w:val="single"/>
    </w:rPr>
  </w:style>
  <w:style w:type="paragraph" w:styleId="NormalWeb">
    <w:name w:val="Normal (Web)"/>
    <w:basedOn w:val="Normal"/>
    <w:uiPriority w:val="99"/>
    <w:unhideWhenUsed/>
    <w:rsid w:val="006531BC"/>
    <w:pPr>
      <w:spacing w:before="100" w:beforeAutospacing="1" w:after="100" w:afterAutospacing="1"/>
    </w:pPr>
    <w:rPr>
      <w:rFonts w:ascii="Times New Roman" w:eastAsia="Times New Roman" w:hAnsi="Times New Roman"/>
      <w:sz w:val="24"/>
      <w:szCs w:val="24"/>
      <w:lang w:eastAsia="en-GB"/>
    </w:rPr>
  </w:style>
  <w:style w:type="character" w:styleId="Emphasis">
    <w:name w:val="Emphasis"/>
    <w:basedOn w:val="DefaultParagraphFont"/>
    <w:uiPriority w:val="20"/>
    <w:qFormat/>
    <w:rsid w:val="00004F60"/>
    <w:rPr>
      <w:i/>
      <w:iCs/>
    </w:rPr>
  </w:style>
  <w:style w:type="character" w:styleId="FollowedHyperlink">
    <w:name w:val="FollowedHyperlink"/>
    <w:basedOn w:val="DefaultParagraphFont"/>
    <w:uiPriority w:val="99"/>
    <w:semiHidden/>
    <w:unhideWhenUsed/>
    <w:rsid w:val="00DB498C"/>
    <w:rPr>
      <w:color w:val="954F72" w:themeColor="followedHyperlink"/>
      <w:u w:val="single"/>
    </w:rPr>
  </w:style>
  <w:style w:type="character" w:styleId="CommentReference">
    <w:name w:val="annotation reference"/>
    <w:basedOn w:val="DefaultParagraphFont"/>
    <w:uiPriority w:val="99"/>
    <w:semiHidden/>
    <w:unhideWhenUsed/>
    <w:rsid w:val="007B22E8"/>
    <w:rPr>
      <w:sz w:val="16"/>
      <w:szCs w:val="16"/>
    </w:rPr>
  </w:style>
  <w:style w:type="paragraph" w:styleId="CommentText">
    <w:name w:val="annotation text"/>
    <w:basedOn w:val="Normal"/>
    <w:link w:val="CommentTextChar"/>
    <w:uiPriority w:val="99"/>
    <w:semiHidden/>
    <w:unhideWhenUsed/>
    <w:rsid w:val="007B22E8"/>
    <w:rPr>
      <w:sz w:val="20"/>
      <w:szCs w:val="20"/>
    </w:rPr>
  </w:style>
  <w:style w:type="character" w:customStyle="1" w:styleId="CommentTextChar">
    <w:name w:val="Comment Text Char"/>
    <w:basedOn w:val="DefaultParagraphFont"/>
    <w:link w:val="CommentText"/>
    <w:uiPriority w:val="99"/>
    <w:semiHidden/>
    <w:rsid w:val="007B22E8"/>
    <w:rPr>
      <w:rFonts w:ascii="Calibri" w:eastAsiaTheme="minorHAns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B22E8"/>
    <w:rPr>
      <w:b/>
      <w:bCs/>
    </w:rPr>
  </w:style>
  <w:style w:type="character" w:customStyle="1" w:styleId="CommentSubjectChar">
    <w:name w:val="Comment Subject Char"/>
    <w:basedOn w:val="CommentTextChar"/>
    <w:link w:val="CommentSubject"/>
    <w:uiPriority w:val="99"/>
    <w:semiHidden/>
    <w:rsid w:val="007B22E8"/>
    <w:rPr>
      <w:rFonts w:ascii="Calibri" w:eastAsiaTheme="minorHAnsi" w:hAnsi="Calibri" w:cs="Times New Roman"/>
      <w:b/>
      <w:bCs/>
      <w:sz w:val="20"/>
      <w:szCs w:val="20"/>
    </w:rPr>
  </w:style>
  <w:style w:type="character" w:customStyle="1" w:styleId="UnresolvedMention1">
    <w:name w:val="Unresolved Mention1"/>
    <w:basedOn w:val="DefaultParagraphFont"/>
    <w:uiPriority w:val="99"/>
    <w:semiHidden/>
    <w:unhideWhenUsed/>
    <w:rsid w:val="002A0303"/>
    <w:rPr>
      <w:color w:val="605E5C"/>
      <w:shd w:val="clear" w:color="auto" w:fill="E1DFDD"/>
    </w:rPr>
  </w:style>
  <w:style w:type="character" w:customStyle="1" w:styleId="UnresolvedMention2">
    <w:name w:val="Unresolved Mention2"/>
    <w:basedOn w:val="DefaultParagraphFont"/>
    <w:uiPriority w:val="99"/>
    <w:semiHidden/>
    <w:unhideWhenUsed/>
    <w:rsid w:val="00A66215"/>
    <w:rPr>
      <w:color w:val="605E5C"/>
      <w:shd w:val="clear" w:color="auto" w:fill="E1DFDD"/>
    </w:rPr>
  </w:style>
  <w:style w:type="paragraph" w:styleId="Header">
    <w:name w:val="header"/>
    <w:basedOn w:val="Normal"/>
    <w:link w:val="HeaderChar"/>
    <w:uiPriority w:val="99"/>
    <w:unhideWhenUsed/>
    <w:rsid w:val="003B5C4C"/>
    <w:pPr>
      <w:tabs>
        <w:tab w:val="center" w:pos="4513"/>
        <w:tab w:val="right" w:pos="9026"/>
      </w:tabs>
    </w:pPr>
  </w:style>
  <w:style w:type="character" w:customStyle="1" w:styleId="HeaderChar">
    <w:name w:val="Header Char"/>
    <w:basedOn w:val="DefaultParagraphFont"/>
    <w:link w:val="Header"/>
    <w:uiPriority w:val="99"/>
    <w:rsid w:val="003B5C4C"/>
    <w:rPr>
      <w:rFonts w:ascii="Calibri" w:eastAsiaTheme="minorHAnsi" w:hAnsi="Calibri" w:cs="Times New Roman"/>
    </w:rPr>
  </w:style>
  <w:style w:type="paragraph" w:styleId="Footer">
    <w:name w:val="footer"/>
    <w:basedOn w:val="Normal"/>
    <w:link w:val="FooterChar"/>
    <w:uiPriority w:val="99"/>
    <w:unhideWhenUsed/>
    <w:rsid w:val="003B5C4C"/>
    <w:pPr>
      <w:tabs>
        <w:tab w:val="center" w:pos="4513"/>
        <w:tab w:val="right" w:pos="9026"/>
      </w:tabs>
    </w:pPr>
  </w:style>
  <w:style w:type="character" w:customStyle="1" w:styleId="FooterChar">
    <w:name w:val="Footer Char"/>
    <w:basedOn w:val="DefaultParagraphFont"/>
    <w:link w:val="Footer"/>
    <w:uiPriority w:val="99"/>
    <w:rsid w:val="003B5C4C"/>
    <w:rPr>
      <w:rFonts w:ascii="Calibri" w:eastAsiaTheme="minorHAnsi" w:hAnsi="Calibri" w:cs="Times New Roman"/>
    </w:rPr>
  </w:style>
  <w:style w:type="paragraph" w:styleId="Revision">
    <w:name w:val="Revision"/>
    <w:hidden/>
    <w:uiPriority w:val="99"/>
    <w:semiHidden/>
    <w:rsid w:val="00861ACA"/>
    <w:pPr>
      <w:spacing w:before="0" w:beforeAutospacing="0" w:after="0" w:afterAutospacing="0"/>
    </w:pPr>
    <w:rPr>
      <w:rFonts w:ascii="Calibri" w:eastAsiaTheme="minorHAns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254848">
      <w:bodyDiv w:val="1"/>
      <w:marLeft w:val="0"/>
      <w:marRight w:val="0"/>
      <w:marTop w:val="0"/>
      <w:marBottom w:val="0"/>
      <w:divBdr>
        <w:top w:val="none" w:sz="0" w:space="0" w:color="auto"/>
        <w:left w:val="none" w:sz="0" w:space="0" w:color="auto"/>
        <w:bottom w:val="none" w:sz="0" w:space="0" w:color="auto"/>
        <w:right w:val="none" w:sz="0" w:space="0" w:color="auto"/>
      </w:divBdr>
      <w:divsChild>
        <w:div w:id="1672758139">
          <w:marLeft w:val="0"/>
          <w:marRight w:val="0"/>
          <w:marTop w:val="180"/>
          <w:marBottom w:val="0"/>
          <w:divBdr>
            <w:top w:val="none" w:sz="0" w:space="0" w:color="auto"/>
            <w:left w:val="none" w:sz="0" w:space="0" w:color="auto"/>
            <w:bottom w:val="none" w:sz="0" w:space="0" w:color="auto"/>
            <w:right w:val="none" w:sz="0" w:space="0" w:color="auto"/>
          </w:divBdr>
          <w:divsChild>
            <w:div w:id="1387073766">
              <w:marLeft w:val="0"/>
              <w:marRight w:val="0"/>
              <w:marTop w:val="0"/>
              <w:marBottom w:val="0"/>
              <w:divBdr>
                <w:top w:val="none" w:sz="0" w:space="0" w:color="auto"/>
                <w:left w:val="none" w:sz="0" w:space="0" w:color="auto"/>
                <w:bottom w:val="none" w:sz="0" w:space="0" w:color="auto"/>
                <w:right w:val="none" w:sz="0" w:space="0" w:color="auto"/>
              </w:divBdr>
              <w:divsChild>
                <w:div w:id="87754680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826898755">
      <w:bodyDiv w:val="1"/>
      <w:marLeft w:val="0"/>
      <w:marRight w:val="0"/>
      <w:marTop w:val="0"/>
      <w:marBottom w:val="0"/>
      <w:divBdr>
        <w:top w:val="none" w:sz="0" w:space="0" w:color="auto"/>
        <w:left w:val="none" w:sz="0" w:space="0" w:color="auto"/>
        <w:bottom w:val="none" w:sz="0" w:space="0" w:color="auto"/>
        <w:right w:val="none" w:sz="0" w:space="0" w:color="auto"/>
      </w:divBdr>
    </w:div>
    <w:div w:id="841973080">
      <w:bodyDiv w:val="1"/>
      <w:marLeft w:val="0"/>
      <w:marRight w:val="0"/>
      <w:marTop w:val="0"/>
      <w:marBottom w:val="0"/>
      <w:divBdr>
        <w:top w:val="none" w:sz="0" w:space="0" w:color="auto"/>
        <w:left w:val="none" w:sz="0" w:space="0" w:color="auto"/>
        <w:bottom w:val="none" w:sz="0" w:space="0" w:color="auto"/>
        <w:right w:val="none" w:sz="0" w:space="0" w:color="auto"/>
      </w:divBdr>
    </w:div>
    <w:div w:id="1295016125">
      <w:bodyDiv w:val="1"/>
      <w:marLeft w:val="0"/>
      <w:marRight w:val="0"/>
      <w:marTop w:val="0"/>
      <w:marBottom w:val="0"/>
      <w:divBdr>
        <w:top w:val="none" w:sz="0" w:space="0" w:color="auto"/>
        <w:left w:val="none" w:sz="0" w:space="0" w:color="auto"/>
        <w:bottom w:val="none" w:sz="0" w:space="0" w:color="auto"/>
        <w:right w:val="none" w:sz="0" w:space="0" w:color="auto"/>
      </w:divBdr>
    </w:div>
    <w:div w:id="1454710851">
      <w:bodyDiv w:val="1"/>
      <w:marLeft w:val="0"/>
      <w:marRight w:val="0"/>
      <w:marTop w:val="0"/>
      <w:marBottom w:val="0"/>
      <w:divBdr>
        <w:top w:val="none" w:sz="0" w:space="0" w:color="auto"/>
        <w:left w:val="none" w:sz="0" w:space="0" w:color="auto"/>
        <w:bottom w:val="none" w:sz="0" w:space="0" w:color="auto"/>
        <w:right w:val="none" w:sz="0" w:space="0" w:color="auto"/>
      </w:divBdr>
      <w:divsChild>
        <w:div w:id="45420694">
          <w:marLeft w:val="0"/>
          <w:marRight w:val="0"/>
          <w:marTop w:val="0"/>
          <w:marBottom w:val="0"/>
          <w:divBdr>
            <w:top w:val="none" w:sz="0" w:space="0" w:color="auto"/>
            <w:left w:val="none" w:sz="0" w:space="0" w:color="auto"/>
            <w:bottom w:val="none" w:sz="0" w:space="0" w:color="auto"/>
            <w:right w:val="none" w:sz="0" w:space="0" w:color="auto"/>
          </w:divBdr>
          <w:divsChild>
            <w:div w:id="361710864">
              <w:marLeft w:val="0"/>
              <w:marRight w:val="0"/>
              <w:marTop w:val="0"/>
              <w:marBottom w:val="0"/>
              <w:divBdr>
                <w:top w:val="none" w:sz="0" w:space="0" w:color="auto"/>
                <w:left w:val="none" w:sz="0" w:space="0" w:color="auto"/>
                <w:bottom w:val="none" w:sz="0" w:space="0" w:color="auto"/>
                <w:right w:val="none" w:sz="0" w:space="0" w:color="auto"/>
              </w:divBdr>
              <w:divsChild>
                <w:div w:id="211388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09157">
          <w:marLeft w:val="0"/>
          <w:marRight w:val="0"/>
          <w:marTop w:val="0"/>
          <w:marBottom w:val="0"/>
          <w:divBdr>
            <w:top w:val="none" w:sz="0" w:space="0" w:color="auto"/>
            <w:left w:val="none" w:sz="0" w:space="0" w:color="auto"/>
            <w:bottom w:val="none" w:sz="0" w:space="0" w:color="auto"/>
            <w:right w:val="none" w:sz="0" w:space="0" w:color="auto"/>
          </w:divBdr>
          <w:divsChild>
            <w:div w:id="450828835">
              <w:marLeft w:val="-225"/>
              <w:marRight w:val="-225"/>
              <w:marTop w:val="0"/>
              <w:marBottom w:val="0"/>
              <w:divBdr>
                <w:top w:val="none" w:sz="0" w:space="0" w:color="auto"/>
                <w:left w:val="none" w:sz="0" w:space="0" w:color="auto"/>
                <w:bottom w:val="none" w:sz="0" w:space="0" w:color="auto"/>
                <w:right w:val="none" w:sz="0" w:space="0" w:color="auto"/>
              </w:divBdr>
              <w:divsChild>
                <w:div w:id="1594821960">
                  <w:marLeft w:val="0"/>
                  <w:marRight w:val="0"/>
                  <w:marTop w:val="0"/>
                  <w:marBottom w:val="0"/>
                  <w:divBdr>
                    <w:top w:val="none" w:sz="0" w:space="0" w:color="auto"/>
                    <w:left w:val="none" w:sz="0" w:space="0" w:color="auto"/>
                    <w:bottom w:val="none" w:sz="0" w:space="0" w:color="auto"/>
                    <w:right w:val="none" w:sz="0" w:space="0" w:color="auto"/>
                  </w:divBdr>
                  <w:divsChild>
                    <w:div w:id="360938464">
                      <w:marLeft w:val="-225"/>
                      <w:marRight w:val="-225"/>
                      <w:marTop w:val="0"/>
                      <w:marBottom w:val="0"/>
                      <w:divBdr>
                        <w:top w:val="none" w:sz="0" w:space="0" w:color="auto"/>
                        <w:left w:val="none" w:sz="0" w:space="0" w:color="auto"/>
                        <w:bottom w:val="none" w:sz="0" w:space="0" w:color="auto"/>
                        <w:right w:val="none" w:sz="0" w:space="0" w:color="auto"/>
                      </w:divBdr>
                      <w:divsChild>
                        <w:div w:id="136559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469398">
              <w:marLeft w:val="0"/>
              <w:marRight w:val="0"/>
              <w:marTop w:val="0"/>
              <w:marBottom w:val="0"/>
              <w:divBdr>
                <w:top w:val="none" w:sz="0" w:space="0" w:color="auto"/>
                <w:left w:val="none" w:sz="0" w:space="0" w:color="auto"/>
                <w:bottom w:val="none" w:sz="0" w:space="0" w:color="auto"/>
                <w:right w:val="none" w:sz="0" w:space="0" w:color="auto"/>
              </w:divBdr>
              <w:divsChild>
                <w:div w:id="12923126">
                  <w:marLeft w:val="-225"/>
                  <w:marRight w:val="-225"/>
                  <w:marTop w:val="0"/>
                  <w:marBottom w:val="0"/>
                  <w:divBdr>
                    <w:top w:val="none" w:sz="0" w:space="0" w:color="auto"/>
                    <w:left w:val="none" w:sz="0" w:space="0" w:color="auto"/>
                    <w:bottom w:val="none" w:sz="0" w:space="0" w:color="auto"/>
                    <w:right w:val="none" w:sz="0" w:space="0" w:color="auto"/>
                  </w:divBdr>
                  <w:divsChild>
                    <w:div w:id="192205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6822">
              <w:marLeft w:val="0"/>
              <w:marRight w:val="0"/>
              <w:marTop w:val="0"/>
              <w:marBottom w:val="0"/>
              <w:divBdr>
                <w:top w:val="none" w:sz="0" w:space="0" w:color="auto"/>
                <w:left w:val="none" w:sz="0" w:space="0" w:color="auto"/>
                <w:bottom w:val="none" w:sz="0" w:space="0" w:color="auto"/>
                <w:right w:val="none" w:sz="0" w:space="0" w:color="auto"/>
              </w:divBdr>
              <w:divsChild>
                <w:div w:id="1950887660">
                  <w:marLeft w:val="-225"/>
                  <w:marRight w:val="-225"/>
                  <w:marTop w:val="0"/>
                  <w:marBottom w:val="0"/>
                  <w:divBdr>
                    <w:top w:val="none" w:sz="0" w:space="0" w:color="auto"/>
                    <w:left w:val="none" w:sz="0" w:space="0" w:color="auto"/>
                    <w:bottom w:val="none" w:sz="0" w:space="0" w:color="auto"/>
                    <w:right w:val="none" w:sz="0" w:space="0" w:color="auto"/>
                  </w:divBdr>
                  <w:divsChild>
                    <w:div w:id="248123563">
                      <w:marLeft w:val="0"/>
                      <w:marRight w:val="0"/>
                      <w:marTop w:val="0"/>
                      <w:marBottom w:val="0"/>
                      <w:divBdr>
                        <w:top w:val="none" w:sz="0" w:space="0" w:color="auto"/>
                        <w:left w:val="none" w:sz="0" w:space="0" w:color="auto"/>
                        <w:bottom w:val="none" w:sz="0" w:space="0" w:color="auto"/>
                        <w:right w:val="none" w:sz="0" w:space="0" w:color="auto"/>
                      </w:divBdr>
                      <w:divsChild>
                        <w:div w:id="1539123950">
                          <w:marLeft w:val="0"/>
                          <w:marRight w:val="0"/>
                          <w:marTop w:val="0"/>
                          <w:marBottom w:val="0"/>
                          <w:divBdr>
                            <w:top w:val="none" w:sz="0" w:space="0" w:color="auto"/>
                            <w:left w:val="none" w:sz="0" w:space="0" w:color="auto"/>
                            <w:bottom w:val="none" w:sz="0" w:space="0" w:color="auto"/>
                            <w:right w:val="none" w:sz="0" w:space="0" w:color="auto"/>
                          </w:divBdr>
                          <w:divsChild>
                            <w:div w:id="616836188">
                              <w:marLeft w:val="0"/>
                              <w:marRight w:val="0"/>
                              <w:marTop w:val="0"/>
                              <w:marBottom w:val="0"/>
                              <w:divBdr>
                                <w:top w:val="none" w:sz="0" w:space="0" w:color="auto"/>
                                <w:left w:val="none" w:sz="0" w:space="0" w:color="auto"/>
                                <w:bottom w:val="none" w:sz="0" w:space="0" w:color="auto"/>
                                <w:right w:val="none" w:sz="0" w:space="0" w:color="auto"/>
                              </w:divBdr>
                              <w:divsChild>
                                <w:div w:id="1517503705">
                                  <w:marLeft w:val="-225"/>
                                  <w:marRight w:val="-225"/>
                                  <w:marTop w:val="0"/>
                                  <w:marBottom w:val="0"/>
                                  <w:divBdr>
                                    <w:top w:val="none" w:sz="0" w:space="0" w:color="auto"/>
                                    <w:left w:val="none" w:sz="0" w:space="0" w:color="auto"/>
                                    <w:bottom w:val="none" w:sz="0" w:space="0" w:color="auto"/>
                                    <w:right w:val="none" w:sz="0" w:space="0" w:color="auto"/>
                                  </w:divBdr>
                                  <w:divsChild>
                                    <w:div w:id="546533092">
                                      <w:marLeft w:val="0"/>
                                      <w:marRight w:val="0"/>
                                      <w:marTop w:val="0"/>
                                      <w:marBottom w:val="0"/>
                                      <w:divBdr>
                                        <w:top w:val="none" w:sz="0" w:space="0" w:color="auto"/>
                                        <w:left w:val="none" w:sz="0" w:space="0" w:color="auto"/>
                                        <w:bottom w:val="none" w:sz="0" w:space="0" w:color="auto"/>
                                        <w:right w:val="none" w:sz="0" w:space="0" w:color="auto"/>
                                      </w:divBdr>
                                    </w:div>
                                  </w:divsChild>
                                </w:div>
                                <w:div w:id="1502624658">
                                  <w:marLeft w:val="0"/>
                                  <w:marRight w:val="0"/>
                                  <w:marTop w:val="0"/>
                                  <w:marBottom w:val="0"/>
                                  <w:divBdr>
                                    <w:top w:val="none" w:sz="0" w:space="0" w:color="auto"/>
                                    <w:left w:val="none" w:sz="0" w:space="0" w:color="auto"/>
                                    <w:bottom w:val="none" w:sz="0" w:space="0" w:color="auto"/>
                                    <w:right w:val="none" w:sz="0" w:space="0" w:color="auto"/>
                                  </w:divBdr>
                                </w:div>
                                <w:div w:id="18975485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015062">
      <w:bodyDiv w:val="1"/>
      <w:marLeft w:val="0"/>
      <w:marRight w:val="0"/>
      <w:marTop w:val="0"/>
      <w:marBottom w:val="0"/>
      <w:divBdr>
        <w:top w:val="none" w:sz="0" w:space="0" w:color="auto"/>
        <w:left w:val="none" w:sz="0" w:space="0" w:color="auto"/>
        <w:bottom w:val="none" w:sz="0" w:space="0" w:color="auto"/>
        <w:right w:val="none" w:sz="0" w:space="0" w:color="auto"/>
      </w:divBdr>
    </w:div>
    <w:div w:id="181548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BEFA4-11A3-4060-9E56-D63FE92EC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3332</Words>
  <Characters>18996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Reevy</dc:creator>
  <cp:keywords/>
  <dc:description/>
  <cp:lastModifiedBy>Matthew Piper</cp:lastModifiedBy>
  <cp:revision>2</cp:revision>
  <cp:lastPrinted>2019-08-08T13:55:00Z</cp:lastPrinted>
  <dcterms:created xsi:type="dcterms:W3CDTF">2021-10-05T15:45:00Z</dcterms:created>
  <dcterms:modified xsi:type="dcterms:W3CDTF">2021-10-05T15:45:00Z</dcterms:modified>
</cp:coreProperties>
</file>