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DDDB" w14:textId="5A75F675" w:rsidR="003A4E83" w:rsidRPr="003A4E83" w:rsidRDefault="003A4E83" w:rsidP="003A4E83">
      <w:pPr>
        <w:spacing w:before="100" w:beforeAutospacing="1" w:after="100" w:afterAutospacing="1" w:line="240" w:lineRule="auto"/>
        <w:rPr>
          <w:rFonts w:ascii="Arial" w:eastAsia="Calibri" w:hAnsi="Arial" w:cs="Arial"/>
          <w:sz w:val="28"/>
          <w:szCs w:val="28"/>
        </w:rPr>
      </w:pPr>
      <w:r w:rsidRPr="003A4E83">
        <w:rPr>
          <w:rFonts w:ascii="Arial" w:eastAsia="Calibri" w:hAnsi="Arial" w:cs="Arial"/>
          <w:sz w:val="28"/>
          <w:szCs w:val="28"/>
        </w:rPr>
        <w:t xml:space="preserve">Commercial Property ~ </w:t>
      </w:r>
      <w:r w:rsidR="00943640">
        <w:rPr>
          <w:rFonts w:ascii="Arial" w:eastAsia="Calibri" w:hAnsi="Arial" w:cs="Arial"/>
          <w:sz w:val="28"/>
          <w:szCs w:val="28"/>
        </w:rPr>
        <w:t xml:space="preserve">October </w:t>
      </w:r>
      <w:r w:rsidR="005C5B74" w:rsidRPr="003A4E83">
        <w:rPr>
          <w:rFonts w:ascii="Arial" w:eastAsia="Calibri" w:hAnsi="Arial" w:cs="Arial"/>
          <w:sz w:val="28"/>
          <w:szCs w:val="28"/>
        </w:rPr>
        <w:t>20</w:t>
      </w:r>
      <w:r w:rsidR="005C5B74">
        <w:rPr>
          <w:rFonts w:ascii="Arial" w:eastAsia="Calibri" w:hAnsi="Arial" w:cs="Arial"/>
          <w:sz w:val="28"/>
          <w:szCs w:val="28"/>
        </w:rPr>
        <w:t>2</w:t>
      </w:r>
      <w:r w:rsidR="00A8582B">
        <w:rPr>
          <w:rFonts w:ascii="Arial" w:eastAsia="Calibri" w:hAnsi="Arial" w:cs="Arial"/>
          <w:sz w:val="28"/>
          <w:szCs w:val="28"/>
        </w:rPr>
        <w:t>1</w:t>
      </w:r>
    </w:p>
    <w:p w14:paraId="3ECDCBCB" w14:textId="7D6467D7" w:rsidR="00412892" w:rsidRDefault="003A4E83" w:rsidP="001E0291">
      <w:pPr>
        <w:spacing w:after="0" w:line="240" w:lineRule="auto"/>
        <w:rPr>
          <w:rFonts w:ascii="Arial" w:eastAsia="Calibri" w:hAnsi="Arial" w:cs="Arial"/>
          <w:b/>
        </w:rPr>
      </w:pPr>
      <w:r w:rsidRPr="003A4E83">
        <w:rPr>
          <w:rFonts w:ascii="Arial" w:eastAsia="Calibri" w:hAnsi="Arial" w:cs="Arial"/>
          <w:b/>
        </w:rPr>
        <w:t xml:space="preserve">Commercial Property Titles ~ </w:t>
      </w:r>
      <w:r w:rsidR="00943640">
        <w:rPr>
          <w:rFonts w:ascii="Arial" w:eastAsia="Calibri" w:hAnsi="Arial" w:cs="Arial"/>
          <w:b/>
        </w:rPr>
        <w:t xml:space="preserve">October </w:t>
      </w:r>
      <w:r w:rsidRPr="003A4E83">
        <w:rPr>
          <w:rFonts w:ascii="Arial" w:eastAsia="Calibri" w:hAnsi="Arial" w:cs="Arial"/>
          <w:b/>
        </w:rPr>
        <w:t>20</w:t>
      </w:r>
      <w:r w:rsidR="005C5B74">
        <w:rPr>
          <w:rFonts w:ascii="Arial" w:eastAsia="Calibri" w:hAnsi="Arial" w:cs="Arial"/>
          <w:b/>
        </w:rPr>
        <w:t>2</w:t>
      </w:r>
      <w:bookmarkStart w:id="0" w:name="_Hlk28353667"/>
      <w:bookmarkStart w:id="1" w:name="_Hlk25689860"/>
      <w:bookmarkStart w:id="2" w:name="_Hlk23704309"/>
      <w:r w:rsidR="00A8582B">
        <w:rPr>
          <w:rFonts w:ascii="Arial" w:eastAsia="Calibri" w:hAnsi="Arial" w:cs="Arial"/>
          <w:b/>
        </w:rPr>
        <w:t>1</w:t>
      </w:r>
    </w:p>
    <w:p w14:paraId="1FD08786" w14:textId="4E1664EC" w:rsidR="00130C16" w:rsidRDefault="00130C16" w:rsidP="001E0291">
      <w:pPr>
        <w:spacing w:after="0" w:line="240" w:lineRule="auto"/>
        <w:rPr>
          <w:rFonts w:ascii="Arial" w:eastAsia="Calibri" w:hAnsi="Arial" w:cs="Arial"/>
          <w:bCs/>
        </w:rPr>
      </w:pPr>
      <w:r w:rsidRPr="00130C16">
        <w:rPr>
          <w:rFonts w:ascii="Arial" w:eastAsia="Calibri" w:hAnsi="Arial" w:cs="Arial"/>
          <w:bCs/>
        </w:rPr>
        <w:t xml:space="preserve">Commercial </w:t>
      </w:r>
      <w:r w:rsidR="00D73E6E">
        <w:rPr>
          <w:rFonts w:ascii="Arial" w:eastAsia="Calibri" w:hAnsi="Arial" w:cs="Arial"/>
          <w:bCs/>
        </w:rPr>
        <w:t>Premises</w:t>
      </w:r>
      <w:r w:rsidR="00D73E6E" w:rsidRPr="00130C16">
        <w:rPr>
          <w:rFonts w:ascii="Arial" w:eastAsia="Calibri" w:hAnsi="Arial" w:cs="Arial"/>
          <w:bCs/>
        </w:rPr>
        <w:t xml:space="preserve"> </w:t>
      </w:r>
      <w:r w:rsidRPr="00130C16">
        <w:rPr>
          <w:rFonts w:ascii="Arial" w:eastAsia="Calibri" w:hAnsi="Arial" w:cs="Arial"/>
          <w:bCs/>
        </w:rPr>
        <w:t>– Where Does the Burden of COVID-19 Losses Fall?</w:t>
      </w:r>
    </w:p>
    <w:p w14:paraId="243F7546" w14:textId="2A8262AF" w:rsidR="00130C16" w:rsidRDefault="00130C16" w:rsidP="001E0291">
      <w:pPr>
        <w:spacing w:after="0" w:line="240" w:lineRule="auto"/>
        <w:rPr>
          <w:rFonts w:ascii="Arial" w:eastAsia="Calibri" w:hAnsi="Arial" w:cs="Arial"/>
          <w:bCs/>
        </w:rPr>
      </w:pPr>
      <w:r w:rsidRPr="00130C16">
        <w:rPr>
          <w:rFonts w:ascii="Arial" w:eastAsia="Calibri" w:hAnsi="Arial" w:cs="Arial"/>
          <w:bCs/>
        </w:rPr>
        <w:t>Conversion of Listed Buildings and VAT Zero-Rating – Guideline Ruling</w:t>
      </w:r>
    </w:p>
    <w:p w14:paraId="67109DC0" w14:textId="6FFAD56E" w:rsidR="00130C16" w:rsidRDefault="00130C16" w:rsidP="001E0291">
      <w:pPr>
        <w:spacing w:after="0" w:line="240" w:lineRule="auto"/>
        <w:rPr>
          <w:rFonts w:ascii="Arial" w:eastAsia="Calibri" w:hAnsi="Arial" w:cs="Arial"/>
          <w:bCs/>
        </w:rPr>
      </w:pPr>
      <w:r w:rsidRPr="00130C16">
        <w:rPr>
          <w:rFonts w:ascii="Arial" w:eastAsia="Calibri" w:hAnsi="Arial" w:cs="Arial"/>
          <w:bCs/>
        </w:rPr>
        <w:t>Jersey-Registered Property Developer Faces English Winding Up Petition</w:t>
      </w:r>
    </w:p>
    <w:p w14:paraId="04DAE110" w14:textId="514AE7F9" w:rsidR="00130C16" w:rsidRDefault="00130C16" w:rsidP="001E0291">
      <w:pPr>
        <w:spacing w:after="0" w:line="240" w:lineRule="auto"/>
        <w:rPr>
          <w:rFonts w:ascii="Arial" w:eastAsia="Calibri" w:hAnsi="Arial" w:cs="Arial"/>
          <w:bCs/>
        </w:rPr>
      </w:pPr>
      <w:r w:rsidRPr="00130C16">
        <w:rPr>
          <w:rFonts w:ascii="Arial" w:eastAsia="Calibri" w:hAnsi="Arial" w:cs="Arial"/>
          <w:bCs/>
        </w:rPr>
        <w:t>Overflying Jets – RAF Fends Off Unlawful Noise Nuisance Claim</w:t>
      </w:r>
    </w:p>
    <w:p w14:paraId="6A66C42A" w14:textId="4C2A862E" w:rsidR="001E0291" w:rsidRDefault="00D61B0E" w:rsidP="001E0291">
      <w:pPr>
        <w:spacing w:after="0" w:line="240" w:lineRule="auto"/>
        <w:rPr>
          <w:rFonts w:ascii="Arial" w:eastAsia="Calibri" w:hAnsi="Arial" w:cs="Arial"/>
          <w:bCs/>
        </w:rPr>
      </w:pPr>
      <w:r w:rsidRPr="00D61B0E">
        <w:rPr>
          <w:rFonts w:ascii="Arial" w:eastAsia="Calibri" w:hAnsi="Arial" w:cs="Arial"/>
          <w:bCs/>
        </w:rPr>
        <w:t xml:space="preserve">Policy Statement Released </w:t>
      </w:r>
      <w:r w:rsidR="0027063C">
        <w:rPr>
          <w:rFonts w:ascii="Arial" w:eastAsia="Calibri" w:hAnsi="Arial" w:cs="Arial"/>
          <w:bCs/>
        </w:rPr>
        <w:t>o</w:t>
      </w:r>
      <w:r w:rsidR="0027063C" w:rsidRPr="00D61B0E">
        <w:rPr>
          <w:rFonts w:ascii="Arial" w:eastAsia="Calibri" w:hAnsi="Arial" w:cs="Arial"/>
          <w:bCs/>
        </w:rPr>
        <w:t xml:space="preserve">n </w:t>
      </w:r>
      <w:r w:rsidRPr="00D61B0E">
        <w:rPr>
          <w:rFonts w:ascii="Arial" w:eastAsia="Calibri" w:hAnsi="Arial" w:cs="Arial"/>
          <w:bCs/>
        </w:rPr>
        <w:t>Pandemic Rent Debt</w:t>
      </w:r>
    </w:p>
    <w:p w14:paraId="70D803DE" w14:textId="77777777" w:rsidR="001E0291" w:rsidRPr="00130C16" w:rsidRDefault="001E0291" w:rsidP="001E0291">
      <w:pPr>
        <w:spacing w:after="0" w:line="240" w:lineRule="auto"/>
        <w:rPr>
          <w:rFonts w:ascii="Arial" w:eastAsia="Calibri" w:hAnsi="Arial" w:cs="Arial"/>
          <w:bCs/>
        </w:rPr>
      </w:pPr>
    </w:p>
    <w:p w14:paraId="6E1692BB" w14:textId="166A6163" w:rsidR="00130C16" w:rsidRPr="001E2E46" w:rsidRDefault="00130C16" w:rsidP="001E0291">
      <w:pPr>
        <w:spacing w:before="100" w:beforeAutospacing="1" w:after="100" w:afterAutospacing="1" w:line="240" w:lineRule="auto"/>
        <w:rPr>
          <w:rFonts w:ascii="Arial" w:hAnsi="Arial" w:cs="Arial"/>
          <w:b/>
          <w:bCs/>
          <w:sz w:val="24"/>
          <w:szCs w:val="24"/>
        </w:rPr>
      </w:pPr>
      <w:r w:rsidRPr="001E2E46">
        <w:rPr>
          <w:rFonts w:ascii="Arial" w:hAnsi="Arial" w:cs="Arial"/>
          <w:b/>
          <w:bCs/>
          <w:sz w:val="24"/>
          <w:szCs w:val="24"/>
        </w:rPr>
        <w:t xml:space="preserve">Commercial </w:t>
      </w:r>
      <w:r w:rsidR="00D73E6E">
        <w:rPr>
          <w:rFonts w:ascii="Arial" w:hAnsi="Arial" w:cs="Arial"/>
          <w:b/>
          <w:bCs/>
          <w:sz w:val="24"/>
          <w:szCs w:val="24"/>
        </w:rPr>
        <w:t>Premises</w:t>
      </w:r>
      <w:r w:rsidR="00D73E6E" w:rsidRPr="001E2E46">
        <w:rPr>
          <w:rFonts w:ascii="Arial" w:hAnsi="Arial" w:cs="Arial"/>
          <w:b/>
          <w:bCs/>
          <w:sz w:val="24"/>
          <w:szCs w:val="24"/>
        </w:rPr>
        <w:t xml:space="preserve"> </w:t>
      </w:r>
      <w:r w:rsidRPr="001E2E46">
        <w:rPr>
          <w:rFonts w:ascii="Arial" w:hAnsi="Arial" w:cs="Arial"/>
          <w:b/>
          <w:bCs/>
          <w:sz w:val="24"/>
          <w:szCs w:val="24"/>
        </w:rPr>
        <w:t>– Where Does the Burden of COVID-19 Losses Fall?</w:t>
      </w:r>
    </w:p>
    <w:p w14:paraId="16B927F7" w14:textId="77777777" w:rsidR="00130C16" w:rsidRPr="001E2E46" w:rsidRDefault="00130C16" w:rsidP="001E0291">
      <w:pPr>
        <w:spacing w:before="100" w:beforeAutospacing="1" w:after="100" w:afterAutospacing="1" w:line="240" w:lineRule="auto"/>
        <w:rPr>
          <w:rFonts w:ascii="Arial" w:hAnsi="Arial" w:cs="Arial"/>
          <w:sz w:val="24"/>
          <w:szCs w:val="24"/>
        </w:rPr>
      </w:pPr>
      <w:r w:rsidRPr="001E2E46">
        <w:rPr>
          <w:rFonts w:ascii="Arial" w:hAnsi="Arial" w:cs="Arial"/>
          <w:sz w:val="24"/>
          <w:szCs w:val="24"/>
        </w:rPr>
        <w:t>Where the COVID-19 pandemic rendered the use of commercial premises illegal or unviable, should the resulting losses fall on the landlord or the tenant? The High Court pondered that burning issue in a decision of vital importance to property professionals and the hospitality industry.</w:t>
      </w:r>
    </w:p>
    <w:p w14:paraId="01C9024A" w14:textId="0A26E22B" w:rsidR="00130C16" w:rsidRPr="001E2E46" w:rsidRDefault="00130C16" w:rsidP="001E0291">
      <w:pPr>
        <w:spacing w:before="100" w:beforeAutospacing="1" w:after="100" w:afterAutospacing="1" w:line="240" w:lineRule="auto"/>
        <w:rPr>
          <w:rFonts w:ascii="Arial" w:hAnsi="Arial" w:cs="Arial"/>
          <w:sz w:val="24"/>
          <w:szCs w:val="24"/>
        </w:rPr>
      </w:pPr>
      <w:r w:rsidRPr="001E2E46">
        <w:rPr>
          <w:rFonts w:ascii="Arial" w:hAnsi="Arial" w:cs="Arial"/>
          <w:sz w:val="24"/>
          <w:szCs w:val="24"/>
        </w:rPr>
        <w:t xml:space="preserve">The case concerned cinema premises that were required to shut during lockdowns. Even when permitted to open, continuing restrictions were said to have rendered the business unsustainable. Between the start of the first lockdown and 16 May 2021, the cinema was open for only 71 days and its takings were £247,000. During the same period in </w:t>
      </w:r>
      <w:r w:rsidR="00D73E6E">
        <w:rPr>
          <w:rFonts w:ascii="Arial" w:hAnsi="Arial" w:cs="Arial"/>
          <w:sz w:val="24"/>
          <w:szCs w:val="24"/>
        </w:rPr>
        <w:t>2018-2019</w:t>
      </w:r>
      <w:r w:rsidRPr="001E2E46">
        <w:rPr>
          <w:rFonts w:ascii="Arial" w:hAnsi="Arial" w:cs="Arial"/>
          <w:sz w:val="24"/>
          <w:szCs w:val="24"/>
        </w:rPr>
        <w:t>, takings were £8.92 million.</w:t>
      </w:r>
    </w:p>
    <w:p w14:paraId="45389868" w14:textId="7F33D9F1" w:rsidR="00130C16" w:rsidRPr="001E2E46" w:rsidRDefault="00130C16" w:rsidP="001E0291">
      <w:pPr>
        <w:spacing w:before="100" w:beforeAutospacing="1" w:after="100" w:afterAutospacing="1" w:line="240" w:lineRule="auto"/>
        <w:rPr>
          <w:rFonts w:ascii="Arial" w:hAnsi="Arial" w:cs="Arial"/>
          <w:sz w:val="24"/>
          <w:szCs w:val="24"/>
        </w:rPr>
      </w:pPr>
      <w:r w:rsidRPr="001E2E46">
        <w:rPr>
          <w:rFonts w:ascii="Arial" w:hAnsi="Arial" w:cs="Arial"/>
          <w:sz w:val="24"/>
          <w:szCs w:val="24"/>
        </w:rPr>
        <w:t>After the tenant ceased to pay rent in June 2020, the landlord launched proceedings to recover about £2.9 million in rent arrears and service charges. It sought summary judgment on its claim against the tenant, the original tenant under a previous lease and their parent company, which guaranteed sums due under both leases</w:t>
      </w:r>
      <w:r w:rsidR="00143624">
        <w:rPr>
          <w:rFonts w:ascii="Arial" w:hAnsi="Arial" w:cs="Arial"/>
          <w:sz w:val="24"/>
          <w:szCs w:val="24"/>
        </w:rPr>
        <w:t>.</w:t>
      </w:r>
    </w:p>
    <w:p w14:paraId="38749B18" w14:textId="77777777" w:rsidR="00130C16" w:rsidRPr="001E2E46" w:rsidRDefault="00130C16" w:rsidP="001E0291">
      <w:pPr>
        <w:spacing w:before="100" w:beforeAutospacing="1" w:after="100" w:afterAutospacing="1" w:line="240" w:lineRule="auto"/>
        <w:rPr>
          <w:rFonts w:ascii="Arial" w:hAnsi="Arial" w:cs="Arial"/>
          <w:sz w:val="24"/>
          <w:szCs w:val="24"/>
        </w:rPr>
      </w:pPr>
      <w:r w:rsidRPr="001E2E46">
        <w:rPr>
          <w:rFonts w:ascii="Arial" w:hAnsi="Arial" w:cs="Arial"/>
          <w:sz w:val="24"/>
          <w:szCs w:val="24"/>
        </w:rPr>
        <w:t xml:space="preserve">In resisting the claim, the defendants argued that they were not liable to pay rent and service charges relating to lockdown periods, during which the premises could not legally be open. They asserted that rent and service charges were only payable at times when the premises could be used as a cinema with attendance levels in line with those that were anticipated when the leases were </w:t>
      </w:r>
      <w:proofErr w:type="gramStart"/>
      <w:r w:rsidRPr="001E2E46">
        <w:rPr>
          <w:rFonts w:ascii="Arial" w:hAnsi="Arial" w:cs="Arial"/>
          <w:sz w:val="24"/>
          <w:szCs w:val="24"/>
        </w:rPr>
        <w:t>entered into</w:t>
      </w:r>
      <w:proofErr w:type="gramEnd"/>
      <w:r w:rsidRPr="001E2E46">
        <w:rPr>
          <w:rFonts w:ascii="Arial" w:hAnsi="Arial" w:cs="Arial"/>
          <w:sz w:val="24"/>
          <w:szCs w:val="24"/>
        </w:rPr>
        <w:t>.</w:t>
      </w:r>
    </w:p>
    <w:p w14:paraId="71886B29" w14:textId="77777777" w:rsidR="00130C16" w:rsidRPr="001E2E46" w:rsidRDefault="00130C16" w:rsidP="001E0291">
      <w:pPr>
        <w:spacing w:before="100" w:beforeAutospacing="1" w:after="100" w:afterAutospacing="1" w:line="240" w:lineRule="auto"/>
        <w:rPr>
          <w:rFonts w:ascii="Arial" w:hAnsi="Arial" w:cs="Arial"/>
          <w:sz w:val="24"/>
          <w:szCs w:val="24"/>
        </w:rPr>
      </w:pPr>
      <w:r w:rsidRPr="001E2E46">
        <w:rPr>
          <w:rFonts w:ascii="Arial" w:hAnsi="Arial" w:cs="Arial"/>
          <w:sz w:val="24"/>
          <w:szCs w:val="24"/>
        </w:rPr>
        <w:t xml:space="preserve">Ruling on the matter, the Court noted that the leases forbade use of the premises for any purpose other than that of a cinematograph theatre with associated services. However, the landlord expressly gave no covenant, </w:t>
      </w:r>
      <w:proofErr w:type="gramStart"/>
      <w:r w:rsidRPr="001E2E46">
        <w:rPr>
          <w:rFonts w:ascii="Arial" w:hAnsi="Arial" w:cs="Arial"/>
          <w:sz w:val="24"/>
          <w:szCs w:val="24"/>
        </w:rPr>
        <w:t>warranty</w:t>
      </w:r>
      <w:proofErr w:type="gramEnd"/>
      <w:r w:rsidRPr="001E2E46">
        <w:rPr>
          <w:rFonts w:ascii="Arial" w:hAnsi="Arial" w:cs="Arial"/>
          <w:sz w:val="24"/>
          <w:szCs w:val="24"/>
        </w:rPr>
        <w:t xml:space="preserve"> or representation that the premises could lawfully be used for that permitted purpose.</w:t>
      </w:r>
    </w:p>
    <w:p w14:paraId="75ACE6B6" w14:textId="77777777" w:rsidR="00130C16" w:rsidRPr="001E2E46" w:rsidRDefault="00130C16" w:rsidP="001E0291">
      <w:pPr>
        <w:spacing w:before="100" w:beforeAutospacing="1" w:after="100" w:afterAutospacing="1" w:line="240" w:lineRule="auto"/>
        <w:rPr>
          <w:rFonts w:ascii="Arial" w:hAnsi="Arial" w:cs="Arial"/>
          <w:sz w:val="24"/>
          <w:szCs w:val="24"/>
        </w:rPr>
      </w:pPr>
      <w:r w:rsidRPr="001E2E46">
        <w:rPr>
          <w:rFonts w:ascii="Arial" w:hAnsi="Arial" w:cs="Arial"/>
          <w:sz w:val="24"/>
          <w:szCs w:val="24"/>
        </w:rPr>
        <w:t xml:space="preserve">The Court found that the defendants had no real prospect of success in arguing that terms should be implied into the leases </w:t>
      </w:r>
      <w:proofErr w:type="gramStart"/>
      <w:r w:rsidRPr="001E2E46">
        <w:rPr>
          <w:rFonts w:ascii="Arial" w:hAnsi="Arial" w:cs="Arial"/>
          <w:sz w:val="24"/>
          <w:szCs w:val="24"/>
        </w:rPr>
        <w:t>so as to</w:t>
      </w:r>
      <w:proofErr w:type="gramEnd"/>
      <w:r w:rsidRPr="001E2E46">
        <w:rPr>
          <w:rFonts w:ascii="Arial" w:hAnsi="Arial" w:cs="Arial"/>
          <w:sz w:val="24"/>
          <w:szCs w:val="24"/>
        </w:rPr>
        <w:t xml:space="preserve"> relieve them from liability. Such terms were not so obviously necessary as to go without saying, nor were they required to give the leases business efficacy. The question of where the risk of the cinema being required to close should lie was a matter for negotiation. The fact that, as matters stood, the risk fell on the tenant did not lead to a conclusion that the leases lacked commercial or practical coherence.</w:t>
      </w:r>
    </w:p>
    <w:p w14:paraId="13BC2CDB" w14:textId="0238FE0C" w:rsidR="00130C16" w:rsidRPr="001E2E46" w:rsidRDefault="00130C16" w:rsidP="001E0291">
      <w:pPr>
        <w:spacing w:before="100" w:beforeAutospacing="1" w:after="100" w:afterAutospacing="1" w:line="240" w:lineRule="auto"/>
        <w:rPr>
          <w:rFonts w:ascii="Arial" w:hAnsi="Arial" w:cs="Arial"/>
          <w:sz w:val="24"/>
          <w:szCs w:val="24"/>
        </w:rPr>
      </w:pPr>
      <w:r w:rsidRPr="001E2E46">
        <w:rPr>
          <w:rFonts w:ascii="Arial" w:hAnsi="Arial" w:cs="Arial"/>
          <w:sz w:val="24"/>
          <w:szCs w:val="24"/>
        </w:rPr>
        <w:t>The Court also rejected the defendants</w:t>
      </w:r>
      <w:r w:rsidR="00143624">
        <w:rPr>
          <w:rFonts w:ascii="Arial" w:hAnsi="Arial" w:cs="Arial"/>
          <w:sz w:val="24"/>
          <w:szCs w:val="24"/>
        </w:rPr>
        <w:t>'</w:t>
      </w:r>
      <w:r w:rsidRPr="001E2E46">
        <w:rPr>
          <w:rFonts w:ascii="Arial" w:hAnsi="Arial" w:cs="Arial"/>
          <w:sz w:val="24"/>
          <w:szCs w:val="24"/>
        </w:rPr>
        <w:t xml:space="preserve"> arguments that the cinema</w:t>
      </w:r>
      <w:r w:rsidR="00143624">
        <w:rPr>
          <w:rFonts w:ascii="Arial" w:hAnsi="Arial" w:cs="Arial"/>
          <w:sz w:val="24"/>
          <w:szCs w:val="24"/>
        </w:rPr>
        <w:t>'</w:t>
      </w:r>
      <w:r w:rsidRPr="001E2E46">
        <w:rPr>
          <w:rFonts w:ascii="Arial" w:hAnsi="Arial" w:cs="Arial"/>
          <w:sz w:val="24"/>
          <w:szCs w:val="24"/>
        </w:rPr>
        <w:t xml:space="preserve">s enforced closure amounted to a failure of consideration that undermined the whole basis of the leases. The leases continued to subsist and the tenant had remained in </w:t>
      </w:r>
      <w:r w:rsidRPr="001E2E46">
        <w:rPr>
          <w:rFonts w:ascii="Arial" w:hAnsi="Arial" w:cs="Arial"/>
          <w:sz w:val="24"/>
          <w:szCs w:val="24"/>
        </w:rPr>
        <w:lastRenderedPageBreak/>
        <w:t xml:space="preserve">possession throughout. The ability to use the premises as a cinema was not fundamental to the basis on which the leases were </w:t>
      </w:r>
      <w:proofErr w:type="gramStart"/>
      <w:r w:rsidRPr="001E2E46">
        <w:rPr>
          <w:rFonts w:ascii="Arial" w:hAnsi="Arial" w:cs="Arial"/>
          <w:sz w:val="24"/>
          <w:szCs w:val="24"/>
        </w:rPr>
        <w:t>entered into</w:t>
      </w:r>
      <w:proofErr w:type="gramEnd"/>
      <w:r w:rsidRPr="001E2E46">
        <w:rPr>
          <w:rFonts w:ascii="Arial" w:hAnsi="Arial" w:cs="Arial"/>
          <w:sz w:val="24"/>
          <w:szCs w:val="24"/>
        </w:rPr>
        <w:t>.</w:t>
      </w:r>
    </w:p>
    <w:p w14:paraId="7F8C7A07" w14:textId="40AA6D35" w:rsidR="00130C16" w:rsidRDefault="00130C16" w:rsidP="001E0291">
      <w:pPr>
        <w:spacing w:before="100" w:beforeAutospacing="1" w:after="100" w:afterAutospacing="1" w:line="240" w:lineRule="auto"/>
        <w:rPr>
          <w:rFonts w:ascii="Arial" w:hAnsi="Arial" w:cs="Arial"/>
          <w:sz w:val="24"/>
          <w:szCs w:val="24"/>
        </w:rPr>
      </w:pPr>
      <w:r w:rsidRPr="001E2E46">
        <w:rPr>
          <w:rFonts w:ascii="Arial" w:hAnsi="Arial" w:cs="Arial"/>
          <w:sz w:val="24"/>
          <w:szCs w:val="24"/>
        </w:rPr>
        <w:t>The defendants having no realistic prospect of successfully resisting the claim, the landlord was granted summary judgment. The sum payable on a summary basis was, however, reduced to take account of an arguable counterclaim in respect of certain insurance matters.</w:t>
      </w:r>
    </w:p>
    <w:p w14:paraId="679A8678" w14:textId="1F568A07" w:rsidR="00143624" w:rsidRDefault="00143624" w:rsidP="001E0291">
      <w:pPr>
        <w:spacing w:before="100" w:beforeAutospacing="1" w:after="100" w:afterAutospacing="1" w:line="240" w:lineRule="auto"/>
        <w:rPr>
          <w:rFonts w:ascii="Arial" w:hAnsi="Arial" w:cs="Arial"/>
          <w:sz w:val="24"/>
          <w:szCs w:val="24"/>
        </w:rPr>
      </w:pPr>
      <w:r>
        <w:rPr>
          <w:rFonts w:ascii="Arial" w:hAnsi="Arial" w:cs="Arial"/>
          <w:sz w:val="24"/>
          <w:szCs w:val="24"/>
        </w:rPr>
        <w:t>Contact us for expert advice on any matters concerning landlord and tenant law.</w:t>
      </w:r>
    </w:p>
    <w:p w14:paraId="659200C2" w14:textId="77777777" w:rsidR="00130C16" w:rsidRDefault="00130C16" w:rsidP="00130C16">
      <w:pPr>
        <w:spacing w:after="0" w:line="240" w:lineRule="auto"/>
        <w:rPr>
          <w:rFonts w:ascii="Arial" w:hAnsi="Arial" w:cs="Arial"/>
          <w:b/>
          <w:bCs/>
          <w:sz w:val="24"/>
          <w:szCs w:val="24"/>
        </w:rPr>
      </w:pPr>
      <w:r>
        <w:rPr>
          <w:rFonts w:ascii="Arial" w:hAnsi="Arial" w:cs="Arial"/>
          <w:b/>
          <w:bCs/>
          <w:sz w:val="24"/>
          <w:szCs w:val="24"/>
        </w:rPr>
        <w:t>Partner Note</w:t>
      </w:r>
    </w:p>
    <w:p w14:paraId="2D33EE0A" w14:textId="77777777" w:rsidR="00130C16" w:rsidRPr="001E2E46" w:rsidRDefault="00130C16" w:rsidP="00130C16">
      <w:pPr>
        <w:spacing w:after="0" w:line="240" w:lineRule="auto"/>
        <w:rPr>
          <w:rFonts w:ascii="Arial" w:hAnsi="Arial" w:cs="Arial"/>
          <w:sz w:val="24"/>
          <w:szCs w:val="24"/>
        </w:rPr>
      </w:pPr>
      <w:r w:rsidRPr="001E2E46">
        <w:rPr>
          <w:rFonts w:ascii="Arial" w:hAnsi="Arial" w:cs="Arial"/>
          <w:sz w:val="24"/>
          <w:szCs w:val="24"/>
        </w:rPr>
        <w:t xml:space="preserve">London Trocadero (2015) LLP v </w:t>
      </w:r>
      <w:proofErr w:type="spellStart"/>
      <w:r w:rsidRPr="001E2E46">
        <w:rPr>
          <w:rFonts w:ascii="Arial" w:hAnsi="Arial" w:cs="Arial"/>
          <w:sz w:val="24"/>
          <w:szCs w:val="24"/>
        </w:rPr>
        <w:t>Picturehouse</w:t>
      </w:r>
      <w:proofErr w:type="spellEnd"/>
      <w:r w:rsidRPr="001E2E46">
        <w:rPr>
          <w:rFonts w:ascii="Arial" w:hAnsi="Arial" w:cs="Arial"/>
          <w:sz w:val="24"/>
          <w:szCs w:val="24"/>
        </w:rPr>
        <w:t xml:space="preserve"> Cinemas L</w:t>
      </w:r>
      <w:r>
        <w:rPr>
          <w:rFonts w:ascii="Arial" w:hAnsi="Arial" w:cs="Arial"/>
          <w:sz w:val="24"/>
          <w:szCs w:val="24"/>
        </w:rPr>
        <w:t>t</w:t>
      </w:r>
      <w:r w:rsidRPr="001E2E46">
        <w:rPr>
          <w:rFonts w:ascii="Arial" w:hAnsi="Arial" w:cs="Arial"/>
          <w:sz w:val="24"/>
          <w:szCs w:val="24"/>
        </w:rPr>
        <w:t xml:space="preserve">d </w:t>
      </w:r>
      <w:r>
        <w:rPr>
          <w:rFonts w:ascii="Arial" w:hAnsi="Arial" w:cs="Arial"/>
          <w:sz w:val="24"/>
          <w:szCs w:val="24"/>
        </w:rPr>
        <w:t>and</w:t>
      </w:r>
      <w:r w:rsidRPr="001E2E46">
        <w:rPr>
          <w:rFonts w:ascii="Arial" w:hAnsi="Arial" w:cs="Arial"/>
          <w:sz w:val="24"/>
          <w:szCs w:val="24"/>
        </w:rPr>
        <w:t xml:space="preserve"> O</w:t>
      </w:r>
      <w:r>
        <w:rPr>
          <w:rFonts w:ascii="Arial" w:hAnsi="Arial" w:cs="Arial"/>
          <w:sz w:val="24"/>
          <w:szCs w:val="24"/>
        </w:rPr>
        <w:t>the</w:t>
      </w:r>
      <w:r w:rsidRPr="001E2E46">
        <w:rPr>
          <w:rFonts w:ascii="Arial" w:hAnsi="Arial" w:cs="Arial"/>
          <w:sz w:val="24"/>
          <w:szCs w:val="24"/>
        </w:rPr>
        <w:t>rs</w:t>
      </w:r>
      <w:r>
        <w:rPr>
          <w:rFonts w:ascii="Arial" w:hAnsi="Arial" w:cs="Arial"/>
          <w:sz w:val="24"/>
          <w:szCs w:val="24"/>
        </w:rPr>
        <w:t xml:space="preserve"> </w:t>
      </w:r>
      <w:r w:rsidRPr="00EB5388">
        <w:rPr>
          <w:rFonts w:ascii="Arial" w:hAnsi="Arial" w:cs="Arial"/>
          <w:sz w:val="24"/>
          <w:szCs w:val="24"/>
        </w:rPr>
        <w:t>[2021] EWHC 2591 (Ch)</w:t>
      </w:r>
    </w:p>
    <w:p w14:paraId="23BB379F" w14:textId="77777777" w:rsidR="00130C16" w:rsidRPr="002643CB" w:rsidRDefault="00130C16" w:rsidP="00130C16">
      <w:pPr>
        <w:spacing w:before="100" w:beforeAutospacing="1" w:after="100" w:afterAutospacing="1" w:line="240" w:lineRule="auto"/>
        <w:rPr>
          <w:rFonts w:ascii="Arial" w:hAnsi="Arial" w:cs="Arial"/>
          <w:b/>
          <w:bCs/>
          <w:sz w:val="24"/>
          <w:szCs w:val="24"/>
        </w:rPr>
      </w:pPr>
      <w:r w:rsidRPr="002643CB">
        <w:rPr>
          <w:rFonts w:ascii="Arial" w:hAnsi="Arial" w:cs="Arial"/>
          <w:b/>
          <w:bCs/>
          <w:sz w:val="24"/>
          <w:szCs w:val="24"/>
        </w:rPr>
        <w:t>Conversion of Listed Buildings and VAT Zero-Rating – Guideline Ruling</w:t>
      </w:r>
    </w:p>
    <w:p w14:paraId="6051A3A8" w14:textId="3386B141" w:rsidR="00130C16" w:rsidRPr="002643CB" w:rsidRDefault="00130C16" w:rsidP="00130C16">
      <w:pPr>
        <w:spacing w:before="100" w:beforeAutospacing="1" w:after="100" w:afterAutospacing="1" w:line="240" w:lineRule="auto"/>
        <w:rPr>
          <w:rFonts w:ascii="Arial" w:hAnsi="Arial" w:cs="Arial"/>
          <w:sz w:val="24"/>
          <w:szCs w:val="24"/>
        </w:rPr>
      </w:pPr>
      <w:r w:rsidRPr="002643CB">
        <w:rPr>
          <w:rFonts w:ascii="Arial" w:hAnsi="Arial" w:cs="Arial"/>
          <w:sz w:val="24"/>
          <w:szCs w:val="24"/>
        </w:rPr>
        <w:t xml:space="preserve">Building works that involve the </w:t>
      </w:r>
      <w:r w:rsidR="001C27F2">
        <w:rPr>
          <w:rFonts w:ascii="Arial" w:hAnsi="Arial" w:cs="Arial"/>
          <w:sz w:val="24"/>
          <w:szCs w:val="24"/>
        </w:rPr>
        <w:t>'</w:t>
      </w:r>
      <w:r w:rsidRPr="002643CB">
        <w:rPr>
          <w:rFonts w:ascii="Arial" w:hAnsi="Arial" w:cs="Arial"/>
          <w:sz w:val="24"/>
          <w:szCs w:val="24"/>
        </w:rPr>
        <w:t>substantial reconstruction</w:t>
      </w:r>
      <w:r w:rsidR="00143624">
        <w:rPr>
          <w:rFonts w:ascii="Arial" w:hAnsi="Arial" w:cs="Arial"/>
          <w:sz w:val="24"/>
          <w:szCs w:val="24"/>
        </w:rPr>
        <w:t>'</w:t>
      </w:r>
      <w:r w:rsidRPr="002643CB">
        <w:rPr>
          <w:rFonts w:ascii="Arial" w:hAnsi="Arial" w:cs="Arial"/>
          <w:sz w:val="24"/>
          <w:szCs w:val="24"/>
        </w:rPr>
        <w:t xml:space="preserve"> of listed buildings have the great benefit of being zero-rated for VAT. As a case concerning the conversion of a grand former military nursing home showed, however, that advantage is only available in highly restricted circumstances.</w:t>
      </w:r>
    </w:p>
    <w:p w14:paraId="37004D28" w14:textId="10BF3EE0" w:rsidR="00130C16" w:rsidRPr="002643CB" w:rsidRDefault="00130C16" w:rsidP="00130C16">
      <w:pPr>
        <w:spacing w:before="100" w:beforeAutospacing="1" w:after="100" w:afterAutospacing="1" w:line="240" w:lineRule="auto"/>
        <w:rPr>
          <w:rFonts w:ascii="Arial" w:hAnsi="Arial" w:cs="Arial"/>
          <w:sz w:val="24"/>
          <w:szCs w:val="24"/>
        </w:rPr>
      </w:pPr>
      <w:r w:rsidRPr="002643CB">
        <w:rPr>
          <w:rFonts w:ascii="Arial" w:hAnsi="Arial" w:cs="Arial"/>
          <w:sz w:val="24"/>
          <w:szCs w:val="24"/>
        </w:rPr>
        <w:t xml:space="preserve">The case concerned a vast, </w:t>
      </w:r>
      <w:r w:rsidR="00381DEE">
        <w:rPr>
          <w:rFonts w:ascii="Arial" w:hAnsi="Arial" w:cs="Arial"/>
          <w:sz w:val="24"/>
          <w:szCs w:val="24"/>
        </w:rPr>
        <w:t>G</w:t>
      </w:r>
      <w:r w:rsidR="00381DEE" w:rsidRPr="002643CB">
        <w:rPr>
          <w:rFonts w:ascii="Arial" w:hAnsi="Arial" w:cs="Arial"/>
          <w:sz w:val="24"/>
          <w:szCs w:val="24"/>
        </w:rPr>
        <w:t xml:space="preserve">rade </w:t>
      </w:r>
      <w:r w:rsidR="00381DEE">
        <w:rPr>
          <w:rFonts w:ascii="Arial" w:hAnsi="Arial" w:cs="Arial"/>
          <w:sz w:val="24"/>
          <w:szCs w:val="24"/>
        </w:rPr>
        <w:t>II</w:t>
      </w:r>
      <w:r w:rsidRPr="002643CB">
        <w:rPr>
          <w:rFonts w:ascii="Arial" w:hAnsi="Arial" w:cs="Arial"/>
          <w:sz w:val="24"/>
          <w:szCs w:val="24"/>
        </w:rPr>
        <w:t xml:space="preserve"> listed building that was for almost a century used to provide nursing facilities for war veterans. During a building project that lasted more than two years, it was converted into 86 luxury flats. The developer argued that the sale of the flats was zero-rated for VAT purposes and that it was thus entitled to recover all the input tax paid on the conversion works. That contention was, however, rejected by HM Revenue and Customs.</w:t>
      </w:r>
    </w:p>
    <w:p w14:paraId="219CCB4E" w14:textId="797F51A7" w:rsidR="00130C16" w:rsidRPr="002643CB" w:rsidRDefault="00130C16" w:rsidP="00130C16">
      <w:pPr>
        <w:spacing w:before="100" w:beforeAutospacing="1" w:after="100" w:afterAutospacing="1" w:line="240" w:lineRule="auto"/>
        <w:rPr>
          <w:rFonts w:ascii="Arial" w:hAnsi="Arial" w:cs="Arial"/>
          <w:sz w:val="24"/>
          <w:szCs w:val="24"/>
        </w:rPr>
      </w:pPr>
      <w:r w:rsidRPr="002643CB">
        <w:rPr>
          <w:rFonts w:ascii="Arial" w:hAnsi="Arial" w:cs="Arial"/>
          <w:sz w:val="24"/>
          <w:szCs w:val="24"/>
        </w:rPr>
        <w:t>Ruling on the matter, the First-tier Tribunal (FTT) noted that the V</w:t>
      </w:r>
      <w:r w:rsidR="00381DEE">
        <w:rPr>
          <w:rFonts w:ascii="Arial" w:hAnsi="Arial" w:cs="Arial"/>
          <w:sz w:val="24"/>
          <w:szCs w:val="24"/>
        </w:rPr>
        <w:t xml:space="preserve">alue </w:t>
      </w:r>
      <w:r w:rsidRPr="002643CB">
        <w:rPr>
          <w:rFonts w:ascii="Arial" w:hAnsi="Arial" w:cs="Arial"/>
          <w:sz w:val="24"/>
          <w:szCs w:val="24"/>
        </w:rPr>
        <w:t>A</w:t>
      </w:r>
      <w:r w:rsidR="00381DEE">
        <w:rPr>
          <w:rFonts w:ascii="Arial" w:hAnsi="Arial" w:cs="Arial"/>
          <w:sz w:val="24"/>
          <w:szCs w:val="24"/>
        </w:rPr>
        <w:t xml:space="preserve">dded </w:t>
      </w:r>
      <w:r w:rsidRPr="002643CB">
        <w:rPr>
          <w:rFonts w:ascii="Arial" w:hAnsi="Arial" w:cs="Arial"/>
          <w:sz w:val="24"/>
          <w:szCs w:val="24"/>
        </w:rPr>
        <w:t>T</w:t>
      </w:r>
      <w:r w:rsidR="00381DEE">
        <w:rPr>
          <w:rFonts w:ascii="Arial" w:hAnsi="Arial" w:cs="Arial"/>
          <w:sz w:val="24"/>
          <w:szCs w:val="24"/>
        </w:rPr>
        <w:t>ax</w:t>
      </w:r>
      <w:r w:rsidRPr="002643CB">
        <w:rPr>
          <w:rFonts w:ascii="Arial" w:hAnsi="Arial" w:cs="Arial"/>
          <w:sz w:val="24"/>
          <w:szCs w:val="24"/>
        </w:rPr>
        <w:t xml:space="preserve"> Act 1994 </w:t>
      </w:r>
      <w:r w:rsidR="00381DEE" w:rsidRPr="002643CB">
        <w:rPr>
          <w:rFonts w:ascii="Arial" w:hAnsi="Arial" w:cs="Arial"/>
          <w:sz w:val="24"/>
          <w:szCs w:val="24"/>
        </w:rPr>
        <w:t>zero</w:t>
      </w:r>
      <w:r w:rsidR="00381DEE">
        <w:rPr>
          <w:rFonts w:ascii="Arial" w:hAnsi="Arial" w:cs="Arial"/>
          <w:sz w:val="24"/>
          <w:szCs w:val="24"/>
        </w:rPr>
        <w:t>-</w:t>
      </w:r>
      <w:r w:rsidRPr="002643CB">
        <w:rPr>
          <w:rFonts w:ascii="Arial" w:hAnsi="Arial" w:cs="Arial"/>
          <w:sz w:val="24"/>
          <w:szCs w:val="24"/>
        </w:rPr>
        <w:t xml:space="preserve">rates the supply of dwellings </w:t>
      </w:r>
      <w:r w:rsidR="00143624">
        <w:rPr>
          <w:rFonts w:ascii="Arial" w:hAnsi="Arial" w:cs="Arial"/>
          <w:sz w:val="24"/>
          <w:szCs w:val="24"/>
        </w:rPr>
        <w:t xml:space="preserve">that </w:t>
      </w:r>
      <w:r w:rsidRPr="002643CB">
        <w:rPr>
          <w:rFonts w:ascii="Arial" w:hAnsi="Arial" w:cs="Arial"/>
          <w:sz w:val="24"/>
          <w:szCs w:val="24"/>
        </w:rPr>
        <w:t>are the result of a substantial reconstruction of a listed building. However, the Act also states that a building is not to be regarded as having been substantially reconstructed unless it incorporates no more than the external walls of the original, together with other external features of architectural or historic merit.</w:t>
      </w:r>
    </w:p>
    <w:p w14:paraId="173025A9" w14:textId="6B0FC348" w:rsidR="00130C16" w:rsidRPr="002643CB" w:rsidRDefault="00130C16" w:rsidP="00130C16">
      <w:pPr>
        <w:spacing w:before="100" w:beforeAutospacing="1" w:after="100" w:afterAutospacing="1" w:line="240" w:lineRule="auto"/>
        <w:rPr>
          <w:rFonts w:ascii="Arial" w:hAnsi="Arial" w:cs="Arial"/>
          <w:sz w:val="24"/>
          <w:szCs w:val="24"/>
        </w:rPr>
      </w:pPr>
      <w:r w:rsidRPr="002643CB">
        <w:rPr>
          <w:rFonts w:ascii="Arial" w:hAnsi="Arial" w:cs="Arial"/>
          <w:sz w:val="24"/>
          <w:szCs w:val="24"/>
        </w:rPr>
        <w:t>Dismissing the developer</w:t>
      </w:r>
      <w:r w:rsidR="00143624">
        <w:rPr>
          <w:rFonts w:ascii="Arial" w:hAnsi="Arial" w:cs="Arial"/>
          <w:sz w:val="24"/>
          <w:szCs w:val="24"/>
        </w:rPr>
        <w:t>'</w:t>
      </w:r>
      <w:r w:rsidRPr="002643CB">
        <w:rPr>
          <w:rFonts w:ascii="Arial" w:hAnsi="Arial" w:cs="Arial"/>
          <w:sz w:val="24"/>
          <w:szCs w:val="24"/>
        </w:rPr>
        <w:t xml:space="preserve">s appeal, the FTT noted that certain internal features of the building had been retained in compliance with planning requirements. They included a chapel, a splendid marble entrance hall and staircase, chimney stacks, </w:t>
      </w:r>
      <w:proofErr w:type="gramStart"/>
      <w:r w:rsidRPr="002643CB">
        <w:rPr>
          <w:rFonts w:ascii="Arial" w:hAnsi="Arial" w:cs="Arial"/>
          <w:sz w:val="24"/>
          <w:szCs w:val="24"/>
        </w:rPr>
        <w:t>trusses</w:t>
      </w:r>
      <w:proofErr w:type="gramEnd"/>
      <w:r w:rsidRPr="002643CB">
        <w:rPr>
          <w:rFonts w:ascii="Arial" w:hAnsi="Arial" w:cs="Arial"/>
          <w:sz w:val="24"/>
          <w:szCs w:val="24"/>
        </w:rPr>
        <w:t xml:space="preserve"> and most of the building</w:t>
      </w:r>
      <w:r w:rsidR="00143624">
        <w:rPr>
          <w:rFonts w:ascii="Arial" w:hAnsi="Arial" w:cs="Arial"/>
          <w:sz w:val="24"/>
          <w:szCs w:val="24"/>
        </w:rPr>
        <w:t>'</w:t>
      </w:r>
      <w:r w:rsidRPr="002643CB">
        <w:rPr>
          <w:rFonts w:ascii="Arial" w:hAnsi="Arial" w:cs="Arial"/>
          <w:sz w:val="24"/>
          <w:szCs w:val="24"/>
        </w:rPr>
        <w:t>s reinforced concrete floor slabs.</w:t>
      </w:r>
    </w:p>
    <w:p w14:paraId="2D219252" w14:textId="6E613272" w:rsidR="00130C16" w:rsidRDefault="00130C16" w:rsidP="00130C16">
      <w:pPr>
        <w:spacing w:before="100" w:beforeAutospacing="1" w:after="100" w:afterAutospacing="1" w:line="240" w:lineRule="auto"/>
        <w:rPr>
          <w:rFonts w:ascii="Arial" w:hAnsi="Arial" w:cs="Arial"/>
          <w:sz w:val="24"/>
          <w:szCs w:val="24"/>
        </w:rPr>
      </w:pPr>
      <w:r w:rsidRPr="002643CB">
        <w:rPr>
          <w:rFonts w:ascii="Arial" w:hAnsi="Arial" w:cs="Arial"/>
          <w:sz w:val="24"/>
          <w:szCs w:val="24"/>
        </w:rPr>
        <w:t xml:space="preserve">Despite the enormous scale of the conversion works, the retained internal features covered some </w:t>
      </w:r>
      <w:r w:rsidR="00381DEE">
        <w:rPr>
          <w:rFonts w:ascii="Arial" w:hAnsi="Arial" w:cs="Arial"/>
          <w:sz w:val="24"/>
          <w:szCs w:val="24"/>
        </w:rPr>
        <w:t>7</w:t>
      </w:r>
      <w:r w:rsidR="00381DEE" w:rsidRPr="002643CB">
        <w:rPr>
          <w:rFonts w:ascii="Arial" w:hAnsi="Arial" w:cs="Arial"/>
          <w:sz w:val="24"/>
          <w:szCs w:val="24"/>
        </w:rPr>
        <w:t xml:space="preserve"> </w:t>
      </w:r>
      <w:r w:rsidRPr="002643CB">
        <w:rPr>
          <w:rFonts w:ascii="Arial" w:hAnsi="Arial" w:cs="Arial"/>
          <w:sz w:val="24"/>
          <w:szCs w:val="24"/>
        </w:rPr>
        <w:t>per cent of the building</w:t>
      </w:r>
      <w:r w:rsidR="00143624">
        <w:rPr>
          <w:rFonts w:ascii="Arial" w:hAnsi="Arial" w:cs="Arial"/>
          <w:sz w:val="24"/>
          <w:szCs w:val="24"/>
        </w:rPr>
        <w:t>'</w:t>
      </w:r>
      <w:r w:rsidRPr="002643CB">
        <w:rPr>
          <w:rFonts w:ascii="Arial" w:hAnsi="Arial" w:cs="Arial"/>
          <w:sz w:val="24"/>
          <w:szCs w:val="24"/>
        </w:rPr>
        <w:t xml:space="preserve">s floorspace and could not be viewed as de minimis or trifling. The floor slabs, </w:t>
      </w:r>
      <w:proofErr w:type="gramStart"/>
      <w:r w:rsidRPr="002643CB">
        <w:rPr>
          <w:rFonts w:ascii="Arial" w:hAnsi="Arial" w:cs="Arial"/>
          <w:sz w:val="24"/>
          <w:szCs w:val="24"/>
        </w:rPr>
        <w:t>trusses</w:t>
      </w:r>
      <w:proofErr w:type="gramEnd"/>
      <w:r w:rsidRPr="002643CB">
        <w:rPr>
          <w:rFonts w:ascii="Arial" w:hAnsi="Arial" w:cs="Arial"/>
          <w:sz w:val="24"/>
          <w:szCs w:val="24"/>
        </w:rPr>
        <w:t xml:space="preserve"> and chimney stacks, whilst performing a structural role, were not part of the external walls or other external features. Other grounds of challenge, based on European law principles of fiscal neutrality and proportionality, also fell on fallow ground.</w:t>
      </w:r>
    </w:p>
    <w:p w14:paraId="567B6DE7" w14:textId="21D92C10" w:rsidR="00143624" w:rsidRDefault="00143624" w:rsidP="00130C16">
      <w:pPr>
        <w:spacing w:before="100" w:beforeAutospacing="1" w:after="100" w:afterAutospacing="1" w:line="240" w:lineRule="auto"/>
        <w:rPr>
          <w:rFonts w:ascii="Arial" w:hAnsi="Arial" w:cs="Arial"/>
          <w:sz w:val="24"/>
          <w:szCs w:val="24"/>
        </w:rPr>
      </w:pPr>
      <w:r>
        <w:rPr>
          <w:rFonts w:ascii="Arial" w:hAnsi="Arial" w:cs="Arial"/>
          <w:sz w:val="24"/>
          <w:szCs w:val="24"/>
        </w:rPr>
        <w:t>The law surrounding listed buildings is complex. To ensure you do</w:t>
      </w:r>
      <w:r w:rsidR="00381DEE">
        <w:rPr>
          <w:rFonts w:ascii="Arial" w:hAnsi="Arial" w:cs="Arial"/>
          <w:sz w:val="24"/>
          <w:szCs w:val="24"/>
        </w:rPr>
        <w:t xml:space="preserve"> </w:t>
      </w:r>
      <w:r>
        <w:rPr>
          <w:rFonts w:ascii="Arial" w:hAnsi="Arial" w:cs="Arial"/>
          <w:sz w:val="24"/>
          <w:szCs w:val="24"/>
        </w:rPr>
        <w:t>n</w:t>
      </w:r>
      <w:r w:rsidR="00381DEE">
        <w:rPr>
          <w:rFonts w:ascii="Arial" w:hAnsi="Arial" w:cs="Arial"/>
          <w:sz w:val="24"/>
          <w:szCs w:val="24"/>
        </w:rPr>
        <w:t>o</w:t>
      </w:r>
      <w:r>
        <w:rPr>
          <w:rFonts w:ascii="Arial" w:hAnsi="Arial" w:cs="Arial"/>
          <w:sz w:val="24"/>
          <w:szCs w:val="24"/>
        </w:rPr>
        <w:t>t fall foul of it, contact our expert team for advice.</w:t>
      </w:r>
    </w:p>
    <w:p w14:paraId="7BF72A07" w14:textId="77777777" w:rsidR="00130C16" w:rsidRDefault="00130C16" w:rsidP="00130C16">
      <w:pPr>
        <w:spacing w:after="0" w:line="240" w:lineRule="auto"/>
        <w:rPr>
          <w:rFonts w:ascii="Arial" w:hAnsi="Arial" w:cs="Arial"/>
          <w:b/>
          <w:bCs/>
          <w:sz w:val="24"/>
          <w:szCs w:val="24"/>
        </w:rPr>
      </w:pPr>
      <w:r>
        <w:rPr>
          <w:rFonts w:ascii="Arial" w:hAnsi="Arial" w:cs="Arial"/>
          <w:b/>
          <w:bCs/>
          <w:sz w:val="24"/>
          <w:szCs w:val="24"/>
        </w:rPr>
        <w:lastRenderedPageBreak/>
        <w:t>Partner Note</w:t>
      </w:r>
    </w:p>
    <w:p w14:paraId="5414515E" w14:textId="6E394E8B" w:rsidR="00130C16" w:rsidRPr="002643CB" w:rsidRDefault="00130C16" w:rsidP="00130C16">
      <w:pPr>
        <w:spacing w:after="0" w:line="240" w:lineRule="auto"/>
        <w:rPr>
          <w:rFonts w:ascii="Arial" w:hAnsi="Arial" w:cs="Arial"/>
          <w:sz w:val="24"/>
          <w:szCs w:val="24"/>
        </w:rPr>
      </w:pPr>
      <w:r w:rsidRPr="002643CB">
        <w:rPr>
          <w:rFonts w:ascii="Arial" w:hAnsi="Arial" w:cs="Arial"/>
          <w:sz w:val="24"/>
          <w:szCs w:val="24"/>
        </w:rPr>
        <w:t>Richmond Hill Developments (Jersey) Ltd v The Commissioners for Her Majesty</w:t>
      </w:r>
      <w:r w:rsidR="00143624">
        <w:rPr>
          <w:rFonts w:ascii="Arial" w:hAnsi="Arial" w:cs="Arial"/>
          <w:sz w:val="24"/>
          <w:szCs w:val="24"/>
        </w:rPr>
        <w:t>'</w:t>
      </w:r>
      <w:r w:rsidRPr="002643CB">
        <w:rPr>
          <w:rFonts w:ascii="Arial" w:hAnsi="Arial" w:cs="Arial"/>
          <w:sz w:val="24"/>
          <w:szCs w:val="24"/>
        </w:rPr>
        <w:t>s Revenue and Customs. Case Number: TC/2017/7169</w:t>
      </w:r>
    </w:p>
    <w:p w14:paraId="2F68A375" w14:textId="77777777" w:rsidR="00130C16" w:rsidRPr="00042049" w:rsidRDefault="00130C16" w:rsidP="00130C16">
      <w:pPr>
        <w:spacing w:before="100" w:beforeAutospacing="1" w:after="100" w:afterAutospacing="1" w:line="240" w:lineRule="auto"/>
        <w:rPr>
          <w:rFonts w:ascii="Arial" w:hAnsi="Arial" w:cs="Arial"/>
          <w:b/>
          <w:bCs/>
          <w:sz w:val="24"/>
          <w:szCs w:val="24"/>
        </w:rPr>
      </w:pPr>
      <w:r w:rsidRPr="00042049">
        <w:rPr>
          <w:rFonts w:ascii="Arial" w:hAnsi="Arial" w:cs="Arial"/>
          <w:b/>
          <w:bCs/>
          <w:sz w:val="24"/>
          <w:szCs w:val="24"/>
        </w:rPr>
        <w:t>Jersey-Registered Property Developer Faces English Winding Up Petition</w:t>
      </w:r>
    </w:p>
    <w:p w14:paraId="5C539C0A" w14:textId="03E8EFF5" w:rsidR="00130C16" w:rsidRPr="00042049" w:rsidRDefault="00130C16" w:rsidP="00130C16">
      <w:pPr>
        <w:spacing w:before="100" w:beforeAutospacing="1" w:after="100" w:afterAutospacing="1" w:line="240" w:lineRule="auto"/>
        <w:rPr>
          <w:rFonts w:ascii="Arial" w:hAnsi="Arial" w:cs="Arial"/>
          <w:sz w:val="24"/>
          <w:szCs w:val="24"/>
        </w:rPr>
      </w:pPr>
      <w:r w:rsidRPr="00042049">
        <w:rPr>
          <w:rFonts w:ascii="Arial" w:hAnsi="Arial" w:cs="Arial"/>
          <w:sz w:val="24"/>
          <w:szCs w:val="24"/>
        </w:rPr>
        <w:t>Companies engaged in developing UK property are often registered abroad and that can pose legal difficulties for creditors. As a High Court ruling showed, however, in the event of insolvency proceedings, it is a company</w:t>
      </w:r>
      <w:r w:rsidR="00143624">
        <w:rPr>
          <w:rFonts w:ascii="Arial" w:hAnsi="Arial" w:cs="Arial"/>
          <w:sz w:val="24"/>
          <w:szCs w:val="24"/>
        </w:rPr>
        <w:t>'</w:t>
      </w:r>
      <w:r w:rsidRPr="00042049">
        <w:rPr>
          <w:rFonts w:ascii="Arial" w:hAnsi="Arial" w:cs="Arial"/>
          <w:sz w:val="24"/>
          <w:szCs w:val="24"/>
        </w:rPr>
        <w:t>s centre of main interests (COMI) that matters, rather than its registered office address.</w:t>
      </w:r>
    </w:p>
    <w:p w14:paraId="0E9611FD" w14:textId="2E9DF86A" w:rsidR="00130C16" w:rsidRPr="00042049" w:rsidRDefault="00130C16" w:rsidP="00130C16">
      <w:pPr>
        <w:spacing w:before="100" w:beforeAutospacing="1" w:after="100" w:afterAutospacing="1" w:line="240" w:lineRule="auto"/>
        <w:rPr>
          <w:rFonts w:ascii="Arial" w:hAnsi="Arial" w:cs="Arial"/>
          <w:sz w:val="24"/>
          <w:szCs w:val="24"/>
        </w:rPr>
      </w:pPr>
      <w:r w:rsidRPr="00042049">
        <w:rPr>
          <w:rFonts w:ascii="Arial" w:hAnsi="Arial" w:cs="Arial"/>
          <w:sz w:val="24"/>
          <w:szCs w:val="24"/>
        </w:rPr>
        <w:t>A firm of architects was owed a judgment debt of £354,000 by a Jersey-registered property company. The debt arose from the firm</w:t>
      </w:r>
      <w:r w:rsidR="00143624">
        <w:rPr>
          <w:rFonts w:ascii="Arial" w:hAnsi="Arial" w:cs="Arial"/>
          <w:sz w:val="24"/>
          <w:szCs w:val="24"/>
        </w:rPr>
        <w:t>'</w:t>
      </w:r>
      <w:r w:rsidRPr="00042049">
        <w:rPr>
          <w:rFonts w:ascii="Arial" w:hAnsi="Arial" w:cs="Arial"/>
          <w:sz w:val="24"/>
          <w:szCs w:val="24"/>
        </w:rPr>
        <w:t>s engagement by the company to assist in obtaining planning permission for a hotel development in England. With a view to recovering its money, the firm lodged a winding up petition against the company.</w:t>
      </w:r>
    </w:p>
    <w:p w14:paraId="2E3CCF08" w14:textId="237C23FA" w:rsidR="00130C16" w:rsidRPr="00042049" w:rsidRDefault="00130C16" w:rsidP="00130C16">
      <w:pPr>
        <w:spacing w:before="100" w:beforeAutospacing="1" w:after="100" w:afterAutospacing="1" w:line="240" w:lineRule="auto"/>
        <w:rPr>
          <w:rFonts w:ascii="Arial" w:hAnsi="Arial" w:cs="Arial"/>
          <w:sz w:val="24"/>
          <w:szCs w:val="24"/>
        </w:rPr>
      </w:pPr>
      <w:r w:rsidRPr="00042049">
        <w:rPr>
          <w:rFonts w:ascii="Arial" w:hAnsi="Arial" w:cs="Arial"/>
          <w:sz w:val="24"/>
          <w:szCs w:val="24"/>
        </w:rPr>
        <w:t xml:space="preserve">The debt was not </w:t>
      </w:r>
      <w:proofErr w:type="gramStart"/>
      <w:r w:rsidRPr="00042049">
        <w:rPr>
          <w:rFonts w:ascii="Arial" w:hAnsi="Arial" w:cs="Arial"/>
          <w:sz w:val="24"/>
          <w:szCs w:val="24"/>
        </w:rPr>
        <w:t>disputed</w:t>
      </w:r>
      <w:proofErr w:type="gramEnd"/>
      <w:r w:rsidRPr="00042049">
        <w:rPr>
          <w:rFonts w:ascii="Arial" w:hAnsi="Arial" w:cs="Arial"/>
          <w:sz w:val="24"/>
          <w:szCs w:val="24"/>
        </w:rPr>
        <w:t xml:space="preserve"> and the company</w:t>
      </w:r>
      <w:r w:rsidR="00143624">
        <w:rPr>
          <w:rFonts w:ascii="Arial" w:hAnsi="Arial" w:cs="Arial"/>
          <w:sz w:val="24"/>
          <w:szCs w:val="24"/>
        </w:rPr>
        <w:t>'</w:t>
      </w:r>
      <w:r w:rsidRPr="00042049">
        <w:rPr>
          <w:rFonts w:ascii="Arial" w:hAnsi="Arial" w:cs="Arial"/>
          <w:sz w:val="24"/>
          <w:szCs w:val="24"/>
        </w:rPr>
        <w:t>s sole director also did not dispute that it was unable to pay its debts. The company argued, however, that its COMI was the same as its registered address in Jersey and the Court thus had no jurisdiction to hear the petition.</w:t>
      </w:r>
    </w:p>
    <w:p w14:paraId="6DDF419E" w14:textId="4A2E5091" w:rsidR="00130C16" w:rsidRPr="00042049" w:rsidRDefault="00130C16" w:rsidP="00130C16">
      <w:pPr>
        <w:spacing w:before="100" w:beforeAutospacing="1" w:after="100" w:afterAutospacing="1" w:line="240" w:lineRule="auto"/>
        <w:rPr>
          <w:rFonts w:ascii="Arial" w:hAnsi="Arial" w:cs="Arial"/>
          <w:sz w:val="24"/>
          <w:szCs w:val="24"/>
        </w:rPr>
      </w:pPr>
      <w:r w:rsidRPr="00042049">
        <w:rPr>
          <w:rFonts w:ascii="Arial" w:hAnsi="Arial" w:cs="Arial"/>
          <w:sz w:val="24"/>
          <w:szCs w:val="24"/>
        </w:rPr>
        <w:t>Rejecting that argument, however, the Court was satisfied that the company</w:t>
      </w:r>
      <w:r w:rsidR="00143624">
        <w:rPr>
          <w:rFonts w:ascii="Arial" w:hAnsi="Arial" w:cs="Arial"/>
          <w:sz w:val="24"/>
          <w:szCs w:val="24"/>
        </w:rPr>
        <w:t>'</w:t>
      </w:r>
      <w:r w:rsidRPr="00042049">
        <w:rPr>
          <w:rFonts w:ascii="Arial" w:hAnsi="Arial" w:cs="Arial"/>
          <w:sz w:val="24"/>
          <w:szCs w:val="24"/>
        </w:rPr>
        <w:t xml:space="preserve">s COMI was at all times in England. All the places in which it pursued its economic activities, held assets, conducted </w:t>
      </w:r>
      <w:proofErr w:type="gramStart"/>
      <w:r w:rsidRPr="00042049">
        <w:rPr>
          <w:rFonts w:ascii="Arial" w:hAnsi="Arial" w:cs="Arial"/>
          <w:sz w:val="24"/>
          <w:szCs w:val="24"/>
        </w:rPr>
        <w:t>negotiations</w:t>
      </w:r>
      <w:proofErr w:type="gramEnd"/>
      <w:r w:rsidRPr="00042049">
        <w:rPr>
          <w:rFonts w:ascii="Arial" w:hAnsi="Arial" w:cs="Arial"/>
          <w:sz w:val="24"/>
          <w:szCs w:val="24"/>
        </w:rPr>
        <w:t xml:space="preserve"> and exercised management functions pointed towards that conclusion.</w:t>
      </w:r>
    </w:p>
    <w:p w14:paraId="28E530D4" w14:textId="36186484" w:rsidR="00130C16" w:rsidRPr="00042049" w:rsidRDefault="00130C16" w:rsidP="00130C16">
      <w:pPr>
        <w:spacing w:before="100" w:beforeAutospacing="1" w:after="100" w:afterAutospacing="1" w:line="240" w:lineRule="auto"/>
        <w:rPr>
          <w:rFonts w:ascii="Arial" w:hAnsi="Arial" w:cs="Arial"/>
          <w:sz w:val="24"/>
          <w:szCs w:val="24"/>
        </w:rPr>
      </w:pPr>
      <w:r w:rsidRPr="00042049">
        <w:rPr>
          <w:rFonts w:ascii="Arial" w:hAnsi="Arial" w:cs="Arial"/>
          <w:sz w:val="24"/>
          <w:szCs w:val="24"/>
        </w:rPr>
        <w:t>The company</w:t>
      </w:r>
      <w:r w:rsidR="00143624">
        <w:rPr>
          <w:rFonts w:ascii="Arial" w:hAnsi="Arial" w:cs="Arial"/>
          <w:sz w:val="24"/>
          <w:szCs w:val="24"/>
        </w:rPr>
        <w:t>'</w:t>
      </w:r>
      <w:r w:rsidRPr="00042049">
        <w:rPr>
          <w:rFonts w:ascii="Arial" w:hAnsi="Arial" w:cs="Arial"/>
          <w:sz w:val="24"/>
          <w:szCs w:val="24"/>
        </w:rPr>
        <w:t>s sole economic purpose was to carry on business in the UK by developing the property, its principal asset. Its name itself indicated a likelihood that it was a special purpose vehicle. Its contracts were governed by English law and subject to English jurisdiction. Save for formal board meetings, which took place in Jersey, its head office administrative functions were conducted in England.</w:t>
      </w:r>
    </w:p>
    <w:p w14:paraId="7B8EF42D" w14:textId="77777777" w:rsidR="00130C16" w:rsidRDefault="00130C16" w:rsidP="00130C16">
      <w:pPr>
        <w:spacing w:before="100" w:beforeAutospacing="1" w:after="100" w:afterAutospacing="1" w:line="240" w:lineRule="auto"/>
        <w:rPr>
          <w:rFonts w:ascii="Arial" w:hAnsi="Arial" w:cs="Arial"/>
          <w:sz w:val="24"/>
          <w:szCs w:val="24"/>
        </w:rPr>
      </w:pPr>
      <w:r w:rsidRPr="00042049">
        <w:rPr>
          <w:rFonts w:ascii="Arial" w:hAnsi="Arial" w:cs="Arial"/>
          <w:sz w:val="24"/>
          <w:szCs w:val="24"/>
        </w:rPr>
        <w:t>The company also failed to persuade the Court that its finances had been affected by the COVID-19 pandemic so that, by virtue of the Corporate Insolvency and Governance Act 2020, no winding up order could be made against it. Having accepted jurisdiction to consider the petition, the Court directed that it be listed for hearing in the general winding up list.</w:t>
      </w:r>
    </w:p>
    <w:p w14:paraId="363A6745" w14:textId="77777777" w:rsidR="00130C16" w:rsidRDefault="00130C16" w:rsidP="00130C16">
      <w:pPr>
        <w:spacing w:after="0" w:line="240" w:lineRule="auto"/>
        <w:rPr>
          <w:rFonts w:ascii="Arial" w:hAnsi="Arial" w:cs="Arial"/>
          <w:b/>
          <w:bCs/>
          <w:sz w:val="24"/>
          <w:szCs w:val="24"/>
        </w:rPr>
      </w:pPr>
      <w:r>
        <w:rPr>
          <w:rFonts w:ascii="Arial" w:hAnsi="Arial" w:cs="Arial"/>
          <w:b/>
          <w:bCs/>
          <w:sz w:val="24"/>
          <w:szCs w:val="24"/>
        </w:rPr>
        <w:t>Partner Note</w:t>
      </w:r>
    </w:p>
    <w:p w14:paraId="7998A4E5" w14:textId="77777777" w:rsidR="00130C16" w:rsidRPr="00042049" w:rsidRDefault="00130C16" w:rsidP="00130C16">
      <w:pPr>
        <w:spacing w:after="0" w:line="240" w:lineRule="auto"/>
        <w:rPr>
          <w:rFonts w:ascii="Arial" w:hAnsi="Arial" w:cs="Arial"/>
          <w:sz w:val="24"/>
          <w:szCs w:val="24"/>
        </w:rPr>
      </w:pPr>
      <w:r w:rsidRPr="00042049">
        <w:rPr>
          <w:rFonts w:ascii="Arial" w:hAnsi="Arial" w:cs="Arial"/>
          <w:sz w:val="24"/>
          <w:szCs w:val="24"/>
        </w:rPr>
        <w:t xml:space="preserve">BUJ Architects LLP v </w:t>
      </w:r>
      <w:proofErr w:type="spellStart"/>
      <w:r w:rsidRPr="00042049">
        <w:rPr>
          <w:rFonts w:ascii="Arial" w:hAnsi="Arial" w:cs="Arial"/>
          <w:sz w:val="24"/>
          <w:szCs w:val="24"/>
        </w:rPr>
        <w:t>Investin</w:t>
      </w:r>
      <w:proofErr w:type="spellEnd"/>
      <w:r w:rsidRPr="00042049">
        <w:rPr>
          <w:rFonts w:ascii="Arial" w:hAnsi="Arial" w:cs="Arial"/>
          <w:sz w:val="24"/>
          <w:szCs w:val="24"/>
        </w:rPr>
        <w:t xml:space="preserve"> Quay House Ltd</w:t>
      </w:r>
      <w:r>
        <w:rPr>
          <w:rFonts w:ascii="Arial" w:hAnsi="Arial" w:cs="Arial"/>
          <w:sz w:val="24"/>
          <w:szCs w:val="24"/>
        </w:rPr>
        <w:t xml:space="preserve"> </w:t>
      </w:r>
      <w:r w:rsidRPr="00042049">
        <w:rPr>
          <w:rFonts w:ascii="Arial" w:hAnsi="Arial" w:cs="Arial"/>
          <w:sz w:val="24"/>
          <w:szCs w:val="24"/>
        </w:rPr>
        <w:t>[2021] EWHC 2371 (Ch)</w:t>
      </w:r>
    </w:p>
    <w:p w14:paraId="0242C74F" w14:textId="77777777" w:rsidR="00130C16" w:rsidRPr="00440ECD" w:rsidRDefault="00130C16" w:rsidP="00130C16">
      <w:pPr>
        <w:spacing w:before="100" w:beforeAutospacing="1" w:after="100" w:afterAutospacing="1" w:line="240" w:lineRule="auto"/>
        <w:rPr>
          <w:rFonts w:ascii="Arial" w:hAnsi="Arial" w:cs="Arial"/>
          <w:b/>
          <w:bCs/>
          <w:sz w:val="24"/>
          <w:szCs w:val="24"/>
        </w:rPr>
      </w:pPr>
      <w:r w:rsidRPr="00440ECD">
        <w:rPr>
          <w:rFonts w:ascii="Arial" w:hAnsi="Arial" w:cs="Arial"/>
          <w:b/>
          <w:bCs/>
          <w:sz w:val="24"/>
          <w:szCs w:val="24"/>
        </w:rPr>
        <w:t>Overflying Jets – RAF Fends Off Unlawful Noise Nuisance Claim</w:t>
      </w:r>
    </w:p>
    <w:p w14:paraId="56E4C8F6" w14:textId="64EBFE28" w:rsidR="00130C16" w:rsidRPr="00440ECD" w:rsidRDefault="00130C16" w:rsidP="00130C16">
      <w:pPr>
        <w:spacing w:before="100" w:beforeAutospacing="1" w:after="100" w:afterAutospacing="1" w:line="240" w:lineRule="auto"/>
        <w:rPr>
          <w:rFonts w:ascii="Arial" w:hAnsi="Arial" w:cs="Arial"/>
          <w:sz w:val="24"/>
          <w:szCs w:val="24"/>
        </w:rPr>
      </w:pPr>
      <w:r w:rsidRPr="00440ECD">
        <w:rPr>
          <w:rFonts w:ascii="Arial" w:hAnsi="Arial" w:cs="Arial"/>
          <w:sz w:val="24"/>
          <w:szCs w:val="24"/>
        </w:rPr>
        <w:t>Noise pollution may blight people</w:t>
      </w:r>
      <w:r w:rsidR="00143624">
        <w:rPr>
          <w:rFonts w:ascii="Arial" w:hAnsi="Arial" w:cs="Arial"/>
          <w:sz w:val="24"/>
          <w:szCs w:val="24"/>
        </w:rPr>
        <w:t>'</w:t>
      </w:r>
      <w:r w:rsidRPr="00440ECD">
        <w:rPr>
          <w:rFonts w:ascii="Arial" w:hAnsi="Arial" w:cs="Arial"/>
          <w:sz w:val="24"/>
          <w:szCs w:val="24"/>
        </w:rPr>
        <w:t>s lives, but it by no means always amounts to an unlawful nuisance for which compensation is payable. The High Court resoundingly made that point in a case concerning a holiday park frequently overflown by noisy RAF jets.</w:t>
      </w:r>
    </w:p>
    <w:p w14:paraId="21FE661B" w14:textId="77777777" w:rsidR="00130C16" w:rsidRPr="00440ECD" w:rsidRDefault="00130C16" w:rsidP="00130C16">
      <w:pPr>
        <w:spacing w:before="100" w:beforeAutospacing="1" w:after="100" w:afterAutospacing="1" w:line="240" w:lineRule="auto"/>
        <w:rPr>
          <w:rFonts w:ascii="Arial" w:hAnsi="Arial" w:cs="Arial"/>
          <w:sz w:val="24"/>
          <w:szCs w:val="24"/>
        </w:rPr>
      </w:pPr>
      <w:r w:rsidRPr="00440ECD">
        <w:rPr>
          <w:rFonts w:ascii="Arial" w:hAnsi="Arial" w:cs="Arial"/>
          <w:sz w:val="24"/>
          <w:szCs w:val="24"/>
        </w:rPr>
        <w:lastRenderedPageBreak/>
        <w:t>A couple poured their life savings into purchasing land beside a reservoir in 2003 and developing it as a holiday park. They launched proceedings against the Ministry of Defence (MoD) claiming that activities at a nearby RAF airfield, used mainly for pilot training purposes, had substantially increased since 2007. They asserted that the deafening noise of jet engines constituted an actionable nuisance.</w:t>
      </w:r>
    </w:p>
    <w:p w14:paraId="379FD108" w14:textId="3B4640F9" w:rsidR="00130C16" w:rsidRPr="00440ECD" w:rsidRDefault="00130C16" w:rsidP="00130C16">
      <w:pPr>
        <w:spacing w:before="100" w:beforeAutospacing="1" w:after="100" w:afterAutospacing="1" w:line="240" w:lineRule="auto"/>
        <w:rPr>
          <w:rFonts w:ascii="Arial" w:hAnsi="Arial" w:cs="Arial"/>
          <w:sz w:val="24"/>
          <w:szCs w:val="24"/>
        </w:rPr>
      </w:pPr>
      <w:r w:rsidRPr="00440ECD">
        <w:rPr>
          <w:rFonts w:ascii="Arial" w:hAnsi="Arial" w:cs="Arial"/>
          <w:sz w:val="24"/>
          <w:szCs w:val="24"/>
        </w:rPr>
        <w:t>Ruling on the matter, the Court acknowledged that the noise of aircraft flying over or close to the holiday park was very loud and annoying, disrupting conversations and sometimes frightening small children. Although intermittent, there was no doubt that the noise interfered with the couple</w:t>
      </w:r>
      <w:r w:rsidR="00143624">
        <w:rPr>
          <w:rFonts w:ascii="Arial" w:hAnsi="Arial" w:cs="Arial"/>
          <w:sz w:val="24"/>
          <w:szCs w:val="24"/>
        </w:rPr>
        <w:t>'</w:t>
      </w:r>
      <w:r w:rsidRPr="00440ECD">
        <w:rPr>
          <w:rFonts w:ascii="Arial" w:hAnsi="Arial" w:cs="Arial"/>
          <w:sz w:val="24"/>
          <w:szCs w:val="24"/>
        </w:rPr>
        <w:t>s enjoyment of their land and its holiday park use.</w:t>
      </w:r>
    </w:p>
    <w:p w14:paraId="0922F4BB" w14:textId="77777777" w:rsidR="00130C16" w:rsidRPr="00440ECD" w:rsidRDefault="00130C16" w:rsidP="00130C16">
      <w:pPr>
        <w:spacing w:before="100" w:beforeAutospacing="1" w:after="100" w:afterAutospacing="1" w:line="240" w:lineRule="auto"/>
        <w:rPr>
          <w:rFonts w:ascii="Arial" w:hAnsi="Arial" w:cs="Arial"/>
          <w:sz w:val="24"/>
          <w:szCs w:val="24"/>
        </w:rPr>
      </w:pPr>
      <w:r w:rsidRPr="00440ECD">
        <w:rPr>
          <w:rFonts w:ascii="Arial" w:hAnsi="Arial" w:cs="Arial"/>
          <w:sz w:val="24"/>
          <w:szCs w:val="24"/>
        </w:rPr>
        <w:t xml:space="preserve">In dismissing the claim, however, the Court noted that the airfield had been in use by the RAF since 1951. There had been no increase in its use since the couple bought their land, nor had there been any significant change in flight patterns. Allegations that pilots sometimes deliberately overflew the holiday park </w:t>
      </w:r>
      <w:proofErr w:type="gramStart"/>
      <w:r w:rsidRPr="00440ECD">
        <w:rPr>
          <w:rFonts w:ascii="Arial" w:hAnsi="Arial" w:cs="Arial"/>
          <w:sz w:val="24"/>
          <w:szCs w:val="24"/>
        </w:rPr>
        <w:t>in order to</w:t>
      </w:r>
      <w:proofErr w:type="gramEnd"/>
      <w:r w:rsidRPr="00440ECD">
        <w:rPr>
          <w:rFonts w:ascii="Arial" w:hAnsi="Arial" w:cs="Arial"/>
          <w:sz w:val="24"/>
          <w:szCs w:val="24"/>
        </w:rPr>
        <w:t xml:space="preserve"> intimidate the couple were roundly rejected.</w:t>
      </w:r>
    </w:p>
    <w:p w14:paraId="1D134EBA" w14:textId="12CB1BC1" w:rsidR="00130C16" w:rsidRPr="00440ECD" w:rsidRDefault="00130C16" w:rsidP="00130C16">
      <w:pPr>
        <w:spacing w:before="100" w:beforeAutospacing="1" w:after="100" w:afterAutospacing="1" w:line="240" w:lineRule="auto"/>
        <w:rPr>
          <w:rFonts w:ascii="Arial" w:hAnsi="Arial" w:cs="Arial"/>
          <w:sz w:val="24"/>
          <w:szCs w:val="24"/>
        </w:rPr>
      </w:pPr>
      <w:r w:rsidRPr="00440ECD">
        <w:rPr>
          <w:rFonts w:ascii="Arial" w:hAnsi="Arial" w:cs="Arial"/>
          <w:sz w:val="24"/>
          <w:szCs w:val="24"/>
        </w:rPr>
        <w:t>The noise of jets overflying the area had been part of everyday life for local people for 70 years and had come to form part of the locality</w:t>
      </w:r>
      <w:r w:rsidR="00143624">
        <w:rPr>
          <w:rFonts w:ascii="Arial" w:hAnsi="Arial" w:cs="Arial"/>
          <w:sz w:val="24"/>
          <w:szCs w:val="24"/>
        </w:rPr>
        <w:t>'</w:t>
      </w:r>
      <w:r w:rsidRPr="00440ECD">
        <w:rPr>
          <w:rFonts w:ascii="Arial" w:hAnsi="Arial" w:cs="Arial"/>
          <w:sz w:val="24"/>
          <w:szCs w:val="24"/>
        </w:rPr>
        <w:t>s character. The noise had not materially increased since the couple bought the land and they had chosen to open a business that was sensitive to noise pollution.</w:t>
      </w:r>
    </w:p>
    <w:p w14:paraId="08BFF02B" w14:textId="6C7CF034" w:rsidR="00130C16" w:rsidRDefault="00130C16" w:rsidP="00130C16">
      <w:pPr>
        <w:spacing w:before="100" w:beforeAutospacing="1" w:after="100" w:afterAutospacing="1" w:line="240" w:lineRule="auto"/>
        <w:rPr>
          <w:rFonts w:ascii="Arial" w:hAnsi="Arial" w:cs="Arial"/>
          <w:sz w:val="24"/>
          <w:szCs w:val="24"/>
        </w:rPr>
      </w:pPr>
      <w:r w:rsidRPr="00440ECD">
        <w:rPr>
          <w:rFonts w:ascii="Arial" w:hAnsi="Arial" w:cs="Arial"/>
          <w:sz w:val="24"/>
          <w:szCs w:val="24"/>
        </w:rPr>
        <w:t>Claims that the noise amounted to a violation of the couple</w:t>
      </w:r>
      <w:r w:rsidR="00143624">
        <w:rPr>
          <w:rFonts w:ascii="Arial" w:hAnsi="Arial" w:cs="Arial"/>
          <w:sz w:val="24"/>
          <w:szCs w:val="24"/>
        </w:rPr>
        <w:t>'</w:t>
      </w:r>
      <w:r w:rsidRPr="00440ECD">
        <w:rPr>
          <w:rFonts w:ascii="Arial" w:hAnsi="Arial" w:cs="Arial"/>
          <w:sz w:val="24"/>
          <w:szCs w:val="24"/>
        </w:rPr>
        <w:t>s human rights to respect for their privacy and family lives and their peaceful enjoyment of their private property also fell on fallow ground. Emphasising the public interest in the training of jet pilots for the defence of the realm, the Court found that the MoD had taken all reasonable steps to reduce noise levels and meet the couple</w:t>
      </w:r>
      <w:r w:rsidR="00143624">
        <w:rPr>
          <w:rFonts w:ascii="Arial" w:hAnsi="Arial" w:cs="Arial"/>
          <w:sz w:val="24"/>
          <w:szCs w:val="24"/>
        </w:rPr>
        <w:t>'</w:t>
      </w:r>
      <w:r w:rsidRPr="00440ECD">
        <w:rPr>
          <w:rFonts w:ascii="Arial" w:hAnsi="Arial" w:cs="Arial"/>
          <w:sz w:val="24"/>
          <w:szCs w:val="24"/>
        </w:rPr>
        <w:t>s requirements.</w:t>
      </w:r>
    </w:p>
    <w:p w14:paraId="592015D5" w14:textId="1E95C759" w:rsidR="00143624" w:rsidRDefault="00143624" w:rsidP="00130C16">
      <w:pPr>
        <w:spacing w:before="100" w:beforeAutospacing="1" w:after="100" w:afterAutospacing="1" w:line="240" w:lineRule="auto"/>
        <w:rPr>
          <w:rFonts w:ascii="Arial" w:hAnsi="Arial" w:cs="Arial"/>
          <w:sz w:val="24"/>
          <w:szCs w:val="24"/>
        </w:rPr>
      </w:pPr>
      <w:r>
        <w:rPr>
          <w:rFonts w:ascii="Arial" w:hAnsi="Arial" w:cs="Arial"/>
          <w:sz w:val="24"/>
          <w:szCs w:val="24"/>
        </w:rPr>
        <w:t>If your commercial property is being blighted by noise pollution or other forms of nuisance, we can advise you on how best to go about making a claim.</w:t>
      </w:r>
    </w:p>
    <w:p w14:paraId="466D56BF" w14:textId="77777777" w:rsidR="00130C16" w:rsidRDefault="00130C16" w:rsidP="00D61B0E">
      <w:pPr>
        <w:spacing w:after="0" w:line="240" w:lineRule="auto"/>
        <w:rPr>
          <w:rFonts w:ascii="Arial" w:hAnsi="Arial" w:cs="Arial"/>
          <w:b/>
          <w:bCs/>
          <w:sz w:val="24"/>
          <w:szCs w:val="24"/>
        </w:rPr>
      </w:pPr>
      <w:r>
        <w:rPr>
          <w:rFonts w:ascii="Arial" w:hAnsi="Arial" w:cs="Arial"/>
          <w:b/>
          <w:bCs/>
          <w:sz w:val="24"/>
          <w:szCs w:val="24"/>
        </w:rPr>
        <w:t>Partner Note</w:t>
      </w:r>
    </w:p>
    <w:p w14:paraId="6BA5AEE8" w14:textId="77777777" w:rsidR="00130C16" w:rsidRPr="00440ECD" w:rsidRDefault="00130C16" w:rsidP="00D61B0E">
      <w:pPr>
        <w:spacing w:after="0" w:line="240" w:lineRule="auto"/>
        <w:rPr>
          <w:rFonts w:ascii="Arial" w:hAnsi="Arial" w:cs="Arial"/>
          <w:sz w:val="24"/>
          <w:szCs w:val="24"/>
        </w:rPr>
      </w:pPr>
      <w:r w:rsidRPr="00440ECD">
        <w:rPr>
          <w:rFonts w:ascii="Arial" w:hAnsi="Arial" w:cs="Arial"/>
          <w:sz w:val="24"/>
          <w:szCs w:val="24"/>
        </w:rPr>
        <w:t xml:space="preserve">Jones </w:t>
      </w:r>
      <w:r>
        <w:rPr>
          <w:rFonts w:ascii="Arial" w:hAnsi="Arial" w:cs="Arial"/>
          <w:sz w:val="24"/>
          <w:szCs w:val="24"/>
        </w:rPr>
        <w:t>and</w:t>
      </w:r>
      <w:r w:rsidRPr="00440ECD">
        <w:rPr>
          <w:rFonts w:ascii="Arial" w:hAnsi="Arial" w:cs="Arial"/>
          <w:sz w:val="24"/>
          <w:szCs w:val="24"/>
        </w:rPr>
        <w:t xml:space="preserve"> An</w:t>
      </w:r>
      <w:r>
        <w:rPr>
          <w:rFonts w:ascii="Arial" w:hAnsi="Arial" w:cs="Arial"/>
          <w:sz w:val="24"/>
          <w:szCs w:val="24"/>
        </w:rPr>
        <w:t>othe</w:t>
      </w:r>
      <w:r w:rsidRPr="00440ECD">
        <w:rPr>
          <w:rFonts w:ascii="Arial" w:hAnsi="Arial" w:cs="Arial"/>
          <w:sz w:val="24"/>
          <w:szCs w:val="24"/>
        </w:rPr>
        <w:t>r v Ministry of Defence</w:t>
      </w:r>
      <w:r>
        <w:rPr>
          <w:rFonts w:ascii="Arial" w:hAnsi="Arial" w:cs="Arial"/>
          <w:sz w:val="24"/>
          <w:szCs w:val="24"/>
        </w:rPr>
        <w:t xml:space="preserve"> </w:t>
      </w:r>
      <w:r w:rsidRPr="00440ECD">
        <w:rPr>
          <w:rFonts w:ascii="Arial" w:hAnsi="Arial" w:cs="Arial"/>
          <w:sz w:val="24"/>
          <w:szCs w:val="24"/>
        </w:rPr>
        <w:t>[2021] EWHC 2276 (QB)</w:t>
      </w:r>
    </w:p>
    <w:p w14:paraId="580DF1EC" w14:textId="13DBD425" w:rsidR="00D61B0E" w:rsidRPr="00B63300" w:rsidRDefault="00D61B0E" w:rsidP="001E0291">
      <w:pPr>
        <w:spacing w:before="100" w:beforeAutospacing="1" w:after="100" w:afterAutospacing="1" w:line="240" w:lineRule="auto"/>
        <w:rPr>
          <w:rFonts w:ascii="Arial" w:hAnsi="Arial" w:cs="Arial"/>
          <w:b/>
          <w:bCs/>
          <w:sz w:val="24"/>
          <w:szCs w:val="24"/>
        </w:rPr>
      </w:pPr>
      <w:r w:rsidRPr="00B63300">
        <w:rPr>
          <w:rFonts w:ascii="Arial" w:hAnsi="Arial" w:cs="Arial"/>
          <w:b/>
          <w:bCs/>
          <w:sz w:val="24"/>
          <w:szCs w:val="24"/>
        </w:rPr>
        <w:t xml:space="preserve">Policy Statement Released </w:t>
      </w:r>
      <w:r w:rsidR="0027063C">
        <w:rPr>
          <w:rFonts w:ascii="Arial" w:hAnsi="Arial" w:cs="Arial"/>
          <w:b/>
          <w:bCs/>
          <w:sz w:val="24"/>
          <w:szCs w:val="24"/>
        </w:rPr>
        <w:t>o</w:t>
      </w:r>
      <w:r w:rsidR="0027063C" w:rsidRPr="00B63300">
        <w:rPr>
          <w:rFonts w:ascii="Arial" w:hAnsi="Arial" w:cs="Arial"/>
          <w:b/>
          <w:bCs/>
          <w:sz w:val="24"/>
          <w:szCs w:val="24"/>
        </w:rPr>
        <w:t xml:space="preserve">n </w:t>
      </w:r>
      <w:r w:rsidRPr="00B63300">
        <w:rPr>
          <w:rFonts w:ascii="Arial" w:hAnsi="Arial" w:cs="Arial"/>
          <w:b/>
          <w:bCs/>
          <w:sz w:val="24"/>
          <w:szCs w:val="24"/>
        </w:rPr>
        <w:t>Pandemic Rent Debt</w:t>
      </w:r>
    </w:p>
    <w:p w14:paraId="2A06C519" w14:textId="07C9B120" w:rsidR="00D61B0E" w:rsidRDefault="00D61B0E" w:rsidP="001E0291">
      <w:pPr>
        <w:spacing w:before="100" w:beforeAutospacing="1" w:after="100" w:afterAutospacing="1" w:line="240" w:lineRule="auto"/>
        <w:rPr>
          <w:rFonts w:ascii="Arial" w:hAnsi="Arial" w:cs="Arial"/>
          <w:sz w:val="24"/>
          <w:szCs w:val="24"/>
        </w:rPr>
      </w:pPr>
      <w:r w:rsidRPr="00B63300">
        <w:rPr>
          <w:rFonts w:ascii="Arial" w:hAnsi="Arial" w:cs="Arial"/>
          <w:sz w:val="24"/>
          <w:szCs w:val="24"/>
        </w:rPr>
        <w:t xml:space="preserve">The </w:t>
      </w:r>
      <w:r w:rsidR="00871F7D">
        <w:rPr>
          <w:rFonts w:ascii="Arial" w:hAnsi="Arial" w:cs="Arial"/>
          <w:sz w:val="24"/>
          <w:szCs w:val="24"/>
        </w:rPr>
        <w:t>g</w:t>
      </w:r>
      <w:r w:rsidR="00871F7D" w:rsidRPr="00B63300">
        <w:rPr>
          <w:rFonts w:ascii="Arial" w:hAnsi="Arial" w:cs="Arial"/>
          <w:sz w:val="24"/>
          <w:szCs w:val="24"/>
        </w:rPr>
        <w:t xml:space="preserve">overnment </w:t>
      </w:r>
      <w:r w:rsidRPr="00B63300">
        <w:rPr>
          <w:rFonts w:ascii="Arial" w:hAnsi="Arial" w:cs="Arial"/>
          <w:sz w:val="24"/>
          <w:szCs w:val="24"/>
        </w:rPr>
        <w:t xml:space="preserve">has provided an update on its approach to dealing with commercial rent debt accrued during the pandemic. Its 'Supporting </w:t>
      </w:r>
      <w:r w:rsidR="0027063C">
        <w:rPr>
          <w:rFonts w:ascii="Arial" w:hAnsi="Arial" w:cs="Arial"/>
          <w:sz w:val="24"/>
          <w:szCs w:val="24"/>
        </w:rPr>
        <w:t>b</w:t>
      </w:r>
      <w:r w:rsidR="0027063C" w:rsidRPr="00B63300">
        <w:rPr>
          <w:rFonts w:ascii="Arial" w:hAnsi="Arial" w:cs="Arial"/>
          <w:sz w:val="24"/>
          <w:szCs w:val="24"/>
        </w:rPr>
        <w:t xml:space="preserve">usinesses </w:t>
      </w:r>
      <w:r w:rsidRPr="00B63300">
        <w:rPr>
          <w:rFonts w:ascii="Arial" w:hAnsi="Arial" w:cs="Arial"/>
          <w:sz w:val="24"/>
          <w:szCs w:val="24"/>
        </w:rPr>
        <w:t xml:space="preserve">with </w:t>
      </w:r>
      <w:r w:rsidR="0027063C">
        <w:rPr>
          <w:rFonts w:ascii="Arial" w:hAnsi="Arial" w:cs="Arial"/>
          <w:sz w:val="24"/>
          <w:szCs w:val="24"/>
        </w:rPr>
        <w:t>c</w:t>
      </w:r>
      <w:r w:rsidR="0027063C" w:rsidRPr="00B63300">
        <w:rPr>
          <w:rFonts w:ascii="Arial" w:hAnsi="Arial" w:cs="Arial"/>
          <w:sz w:val="24"/>
          <w:szCs w:val="24"/>
        </w:rPr>
        <w:t xml:space="preserve">ommercial </w:t>
      </w:r>
      <w:r w:rsidR="0027063C">
        <w:rPr>
          <w:rFonts w:ascii="Arial" w:hAnsi="Arial" w:cs="Arial"/>
          <w:sz w:val="24"/>
          <w:szCs w:val="24"/>
        </w:rPr>
        <w:t>r</w:t>
      </w:r>
      <w:r w:rsidR="0027063C" w:rsidRPr="00B63300">
        <w:rPr>
          <w:rFonts w:ascii="Arial" w:hAnsi="Arial" w:cs="Arial"/>
          <w:sz w:val="24"/>
          <w:szCs w:val="24"/>
        </w:rPr>
        <w:t xml:space="preserve">ent </w:t>
      </w:r>
      <w:r w:rsidR="0027063C">
        <w:rPr>
          <w:rFonts w:ascii="Arial" w:hAnsi="Arial" w:cs="Arial"/>
          <w:sz w:val="24"/>
          <w:szCs w:val="24"/>
        </w:rPr>
        <w:t>d</w:t>
      </w:r>
      <w:r w:rsidR="0027063C" w:rsidRPr="00B63300">
        <w:rPr>
          <w:rFonts w:ascii="Arial" w:hAnsi="Arial" w:cs="Arial"/>
          <w:sz w:val="24"/>
          <w:szCs w:val="24"/>
        </w:rPr>
        <w:t>ebts</w:t>
      </w:r>
      <w:r w:rsidRPr="00B63300">
        <w:rPr>
          <w:rFonts w:ascii="Arial" w:hAnsi="Arial" w:cs="Arial"/>
          <w:sz w:val="24"/>
          <w:szCs w:val="24"/>
        </w:rPr>
        <w:t xml:space="preserve">: </w:t>
      </w:r>
      <w:r w:rsidR="0027063C">
        <w:rPr>
          <w:rFonts w:ascii="Arial" w:hAnsi="Arial" w:cs="Arial"/>
          <w:sz w:val="24"/>
          <w:szCs w:val="24"/>
        </w:rPr>
        <w:t>p</w:t>
      </w:r>
      <w:r w:rsidR="0027063C" w:rsidRPr="00B63300">
        <w:rPr>
          <w:rFonts w:ascii="Arial" w:hAnsi="Arial" w:cs="Arial"/>
          <w:sz w:val="24"/>
          <w:szCs w:val="24"/>
        </w:rPr>
        <w:t xml:space="preserve">olicy </w:t>
      </w:r>
      <w:r w:rsidR="0027063C">
        <w:rPr>
          <w:rFonts w:ascii="Arial" w:hAnsi="Arial" w:cs="Arial"/>
          <w:sz w:val="24"/>
          <w:szCs w:val="24"/>
        </w:rPr>
        <w:t>s</w:t>
      </w:r>
      <w:r w:rsidR="0027063C" w:rsidRPr="00B63300">
        <w:rPr>
          <w:rFonts w:ascii="Arial" w:hAnsi="Arial" w:cs="Arial"/>
          <w:sz w:val="24"/>
          <w:szCs w:val="24"/>
        </w:rPr>
        <w:t>tatement</w:t>
      </w:r>
      <w:r w:rsidR="0027063C">
        <w:rPr>
          <w:rFonts w:ascii="Arial" w:hAnsi="Arial" w:cs="Arial"/>
          <w:sz w:val="24"/>
          <w:szCs w:val="24"/>
        </w:rPr>
        <w:t xml:space="preserve">' </w:t>
      </w:r>
      <w:r>
        <w:rPr>
          <w:rFonts w:ascii="Arial" w:hAnsi="Arial" w:cs="Arial"/>
          <w:sz w:val="24"/>
          <w:szCs w:val="24"/>
        </w:rPr>
        <w:t xml:space="preserve">reiterates the previously announced extension of protections under </w:t>
      </w:r>
      <w:r w:rsidRPr="00B45D2D">
        <w:rPr>
          <w:rFonts w:ascii="Arial" w:hAnsi="Arial" w:cs="Arial"/>
          <w:sz w:val="24"/>
          <w:szCs w:val="24"/>
        </w:rPr>
        <w:t>Section 82 of the Coronavirus Act 2020</w:t>
      </w:r>
      <w:r>
        <w:rPr>
          <w:rFonts w:ascii="Arial" w:hAnsi="Arial" w:cs="Arial"/>
          <w:sz w:val="24"/>
          <w:szCs w:val="24"/>
        </w:rPr>
        <w:t>. The protections,</w:t>
      </w:r>
      <w:r w:rsidRPr="00B45D2D">
        <w:rPr>
          <w:rFonts w:ascii="Arial" w:hAnsi="Arial" w:cs="Arial"/>
          <w:sz w:val="24"/>
          <w:szCs w:val="24"/>
        </w:rPr>
        <w:t xml:space="preserve"> which prevent landlords of commercial properties from being able to evict tenants for the non-payment of rent</w:t>
      </w:r>
      <w:r w:rsidR="00871F7D">
        <w:rPr>
          <w:rFonts w:ascii="Arial" w:hAnsi="Arial" w:cs="Arial"/>
          <w:sz w:val="24"/>
          <w:szCs w:val="24"/>
        </w:rPr>
        <w:t>,</w:t>
      </w:r>
      <w:r>
        <w:rPr>
          <w:rFonts w:ascii="Arial" w:hAnsi="Arial" w:cs="Arial"/>
          <w:sz w:val="24"/>
          <w:szCs w:val="24"/>
        </w:rPr>
        <w:t xml:space="preserve"> </w:t>
      </w:r>
      <w:r w:rsidRPr="00B45D2D">
        <w:rPr>
          <w:rFonts w:ascii="Arial" w:hAnsi="Arial" w:cs="Arial"/>
          <w:sz w:val="24"/>
          <w:szCs w:val="24"/>
        </w:rPr>
        <w:t>will continue until 25 March 2022, unless legislation is passed ahead of this</w:t>
      </w:r>
      <w:r>
        <w:rPr>
          <w:rFonts w:ascii="Arial" w:hAnsi="Arial" w:cs="Arial"/>
          <w:sz w:val="24"/>
          <w:szCs w:val="24"/>
        </w:rPr>
        <w:t>.</w:t>
      </w:r>
    </w:p>
    <w:p w14:paraId="60C42C2B" w14:textId="2B11C77D" w:rsidR="00D61B0E" w:rsidRDefault="00D61B0E" w:rsidP="001E0291">
      <w:pPr>
        <w:spacing w:before="100" w:beforeAutospacing="1" w:after="100" w:afterAutospacing="1" w:line="240" w:lineRule="auto"/>
        <w:rPr>
          <w:rFonts w:ascii="Arial" w:hAnsi="Arial" w:cs="Arial"/>
          <w:sz w:val="24"/>
          <w:szCs w:val="24"/>
        </w:rPr>
      </w:pPr>
      <w:r>
        <w:rPr>
          <w:rFonts w:ascii="Arial" w:hAnsi="Arial" w:cs="Arial"/>
          <w:sz w:val="24"/>
          <w:szCs w:val="24"/>
        </w:rPr>
        <w:t xml:space="preserve">The policy statement also signals the </w:t>
      </w:r>
      <w:r w:rsidR="00871F7D">
        <w:rPr>
          <w:rFonts w:ascii="Arial" w:hAnsi="Arial" w:cs="Arial"/>
          <w:sz w:val="24"/>
          <w:szCs w:val="24"/>
        </w:rPr>
        <w:t>government</w:t>
      </w:r>
      <w:r w:rsidR="00D73E6E">
        <w:rPr>
          <w:rFonts w:ascii="Arial" w:hAnsi="Arial" w:cs="Arial"/>
          <w:sz w:val="24"/>
          <w:szCs w:val="24"/>
        </w:rPr>
        <w:t>'</w:t>
      </w:r>
      <w:r w:rsidR="00871F7D">
        <w:rPr>
          <w:rFonts w:ascii="Arial" w:hAnsi="Arial" w:cs="Arial"/>
          <w:sz w:val="24"/>
          <w:szCs w:val="24"/>
        </w:rPr>
        <w:t xml:space="preserve">s </w:t>
      </w:r>
      <w:r>
        <w:rPr>
          <w:rFonts w:ascii="Arial" w:hAnsi="Arial" w:cs="Arial"/>
          <w:sz w:val="24"/>
          <w:szCs w:val="24"/>
        </w:rPr>
        <w:t>intent to '</w:t>
      </w:r>
      <w:r w:rsidRPr="00B45D2D">
        <w:rPr>
          <w:rFonts w:ascii="Arial" w:hAnsi="Arial" w:cs="Arial"/>
          <w:sz w:val="24"/>
          <w:szCs w:val="24"/>
        </w:rPr>
        <w:t>legislate to ringfence rent debt accrued during the pandemic by businesses affected by enforced closures and set out a process of binding arbitration to be undertaken between landlords and tenants</w:t>
      </w:r>
      <w:r w:rsidR="00871F7D">
        <w:rPr>
          <w:rFonts w:ascii="Arial" w:hAnsi="Arial" w:cs="Arial"/>
          <w:sz w:val="24"/>
          <w:szCs w:val="24"/>
        </w:rPr>
        <w:t>'.</w:t>
      </w:r>
    </w:p>
    <w:p w14:paraId="60DF5086" w14:textId="0EC37726" w:rsidR="00D61B0E" w:rsidRDefault="00D61B0E" w:rsidP="001E0291">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The principles due to be enshrined in the legislation will be published by the </w:t>
      </w:r>
      <w:r w:rsidR="00871F7D">
        <w:rPr>
          <w:rFonts w:ascii="Arial" w:hAnsi="Arial" w:cs="Arial"/>
          <w:sz w:val="24"/>
          <w:szCs w:val="24"/>
        </w:rPr>
        <w:t>government</w:t>
      </w:r>
      <w:r>
        <w:rPr>
          <w:rFonts w:ascii="Arial" w:hAnsi="Arial" w:cs="Arial"/>
          <w:sz w:val="24"/>
          <w:szCs w:val="24"/>
        </w:rPr>
        <w:t xml:space="preserve"> prior to the new law being implemented.</w:t>
      </w:r>
    </w:p>
    <w:p w14:paraId="72211BE3" w14:textId="5F9CD970" w:rsidR="00D61B0E" w:rsidRDefault="00D61B0E" w:rsidP="001E0291">
      <w:pPr>
        <w:spacing w:before="100" w:beforeAutospacing="1" w:after="100" w:afterAutospacing="1" w:line="240" w:lineRule="auto"/>
        <w:rPr>
          <w:rFonts w:ascii="Arial" w:hAnsi="Arial" w:cs="Arial"/>
          <w:sz w:val="24"/>
          <w:szCs w:val="24"/>
        </w:rPr>
      </w:pPr>
      <w:r>
        <w:rPr>
          <w:rFonts w:ascii="Arial" w:hAnsi="Arial" w:cs="Arial"/>
          <w:sz w:val="24"/>
          <w:szCs w:val="24"/>
        </w:rPr>
        <w:t>For further information</w:t>
      </w:r>
      <w:r w:rsidR="00871F7D">
        <w:rPr>
          <w:rFonts w:ascii="Arial" w:hAnsi="Arial" w:cs="Arial"/>
          <w:sz w:val="24"/>
          <w:szCs w:val="24"/>
        </w:rPr>
        <w:t>,</w:t>
      </w:r>
      <w:r>
        <w:rPr>
          <w:rFonts w:ascii="Arial" w:hAnsi="Arial" w:cs="Arial"/>
          <w:sz w:val="24"/>
          <w:szCs w:val="24"/>
        </w:rPr>
        <w:t xml:space="preserve"> see </w:t>
      </w:r>
      <w:hyperlink r:id="rId6" w:anchor="code-of-practice" w:history="1">
        <w:r w:rsidRPr="00996204">
          <w:rPr>
            <w:rStyle w:val="Hyperlink"/>
            <w:rFonts w:ascii="Arial" w:hAnsi="Arial" w:cs="Arial"/>
            <w:sz w:val="24"/>
            <w:szCs w:val="24"/>
          </w:rPr>
          <w:t>https://www.gov.uk/government/publications/resolving-commercial-rent-arrears-accumulated-due-to-covid-19/supporting-businesses-with-commercial-rent-debts-policy-statement</w:t>
        </w:r>
      </w:hyperlink>
    </w:p>
    <w:p w14:paraId="4E7D6585" w14:textId="77777777" w:rsidR="00130C16" w:rsidRDefault="00130C16" w:rsidP="001E0291">
      <w:pPr>
        <w:spacing w:before="100" w:beforeAutospacing="1" w:after="100" w:afterAutospacing="1" w:line="240" w:lineRule="auto"/>
        <w:rPr>
          <w:rFonts w:ascii="Arial" w:hAnsi="Arial" w:cs="Arial"/>
          <w:sz w:val="24"/>
          <w:szCs w:val="24"/>
        </w:rPr>
      </w:pPr>
    </w:p>
    <w:bookmarkEnd w:id="0"/>
    <w:bookmarkEnd w:id="1"/>
    <w:bookmarkEnd w:id="2"/>
    <w:p w14:paraId="4AF732C1" w14:textId="38B20A1F" w:rsidR="003A4E83" w:rsidRDefault="00844973" w:rsidP="001E0291">
      <w:pPr>
        <w:spacing w:before="100" w:beforeAutospacing="1" w:after="100" w:afterAutospacing="1" w:line="240" w:lineRule="auto"/>
        <w:jc w:val="center"/>
      </w:pPr>
      <w:r w:rsidRPr="00844973">
        <w:rPr>
          <w:rFonts w:ascii="Arial" w:eastAsia="Times New Roman" w:hAnsi="Arial" w:cs="Arial"/>
          <w:sz w:val="18"/>
          <w:szCs w:val="18"/>
        </w:rPr>
        <w:t>These articles are provided for general interest and information only.</w:t>
      </w:r>
      <w:r w:rsidR="00651114">
        <w:rPr>
          <w:rFonts w:ascii="Arial" w:eastAsia="Times New Roman" w:hAnsi="Arial" w:cs="Arial"/>
          <w:sz w:val="18"/>
          <w:szCs w:val="18"/>
        </w:rPr>
        <w:t xml:space="preserve"> </w:t>
      </w:r>
      <w:r w:rsidRPr="00844973">
        <w:rPr>
          <w:rFonts w:ascii="Arial" w:eastAsia="Times New Roman" w:hAnsi="Arial" w:cs="Arial"/>
          <w:sz w:val="18"/>
          <w:szCs w:val="18"/>
        </w:rPr>
        <w:t>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3A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848A3"/>
    <w:multiLevelType w:val="multilevel"/>
    <w:tmpl w:val="C834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63009C"/>
    <w:multiLevelType w:val="multilevel"/>
    <w:tmpl w:val="1144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83"/>
    <w:rsid w:val="00000281"/>
    <w:rsid w:val="000003CD"/>
    <w:rsid w:val="000004C1"/>
    <w:rsid w:val="0001185A"/>
    <w:rsid w:val="00015D9F"/>
    <w:rsid w:val="00035B1D"/>
    <w:rsid w:val="00036EC2"/>
    <w:rsid w:val="00054207"/>
    <w:rsid w:val="00055750"/>
    <w:rsid w:val="000559D7"/>
    <w:rsid w:val="00062AFB"/>
    <w:rsid w:val="00065B14"/>
    <w:rsid w:val="000673A7"/>
    <w:rsid w:val="00073B48"/>
    <w:rsid w:val="00075147"/>
    <w:rsid w:val="00084DDD"/>
    <w:rsid w:val="00091F26"/>
    <w:rsid w:val="00092E47"/>
    <w:rsid w:val="00094675"/>
    <w:rsid w:val="000A2C38"/>
    <w:rsid w:val="000A5BCD"/>
    <w:rsid w:val="000B3F28"/>
    <w:rsid w:val="000B6DC0"/>
    <w:rsid w:val="000C521D"/>
    <w:rsid w:val="000D0727"/>
    <w:rsid w:val="000D581C"/>
    <w:rsid w:val="000F12FD"/>
    <w:rsid w:val="000F1F22"/>
    <w:rsid w:val="000F21D1"/>
    <w:rsid w:val="000F4642"/>
    <w:rsid w:val="000F501F"/>
    <w:rsid w:val="000F69C5"/>
    <w:rsid w:val="00104C89"/>
    <w:rsid w:val="001079B6"/>
    <w:rsid w:val="0011101A"/>
    <w:rsid w:val="001131B0"/>
    <w:rsid w:val="001139FD"/>
    <w:rsid w:val="0012284E"/>
    <w:rsid w:val="00130C16"/>
    <w:rsid w:val="0013107A"/>
    <w:rsid w:val="00131F3F"/>
    <w:rsid w:val="00135C25"/>
    <w:rsid w:val="00143624"/>
    <w:rsid w:val="0014719E"/>
    <w:rsid w:val="001520F6"/>
    <w:rsid w:val="00152E75"/>
    <w:rsid w:val="00154C59"/>
    <w:rsid w:val="00154FA1"/>
    <w:rsid w:val="001615ED"/>
    <w:rsid w:val="00164A6D"/>
    <w:rsid w:val="0017025F"/>
    <w:rsid w:val="001727FD"/>
    <w:rsid w:val="00173BE6"/>
    <w:rsid w:val="00174035"/>
    <w:rsid w:val="00181A15"/>
    <w:rsid w:val="00184092"/>
    <w:rsid w:val="00194F7D"/>
    <w:rsid w:val="00195FA1"/>
    <w:rsid w:val="001A415A"/>
    <w:rsid w:val="001A4476"/>
    <w:rsid w:val="001A564E"/>
    <w:rsid w:val="001A63B1"/>
    <w:rsid w:val="001C27F2"/>
    <w:rsid w:val="001C47CE"/>
    <w:rsid w:val="001C79AC"/>
    <w:rsid w:val="001D184D"/>
    <w:rsid w:val="001E0291"/>
    <w:rsid w:val="001E02D0"/>
    <w:rsid w:val="001E41E0"/>
    <w:rsid w:val="001F7E1B"/>
    <w:rsid w:val="00200FA7"/>
    <w:rsid w:val="00202083"/>
    <w:rsid w:val="0020557D"/>
    <w:rsid w:val="00206AA5"/>
    <w:rsid w:val="00206F9F"/>
    <w:rsid w:val="002120C5"/>
    <w:rsid w:val="002253F5"/>
    <w:rsid w:val="002447D4"/>
    <w:rsid w:val="00247831"/>
    <w:rsid w:val="00256A33"/>
    <w:rsid w:val="00264668"/>
    <w:rsid w:val="00266433"/>
    <w:rsid w:val="0027063C"/>
    <w:rsid w:val="0027311C"/>
    <w:rsid w:val="002769EB"/>
    <w:rsid w:val="00280D4B"/>
    <w:rsid w:val="00287969"/>
    <w:rsid w:val="00290A24"/>
    <w:rsid w:val="00292057"/>
    <w:rsid w:val="002A1C78"/>
    <w:rsid w:val="002A3225"/>
    <w:rsid w:val="002A6695"/>
    <w:rsid w:val="002A7F60"/>
    <w:rsid w:val="002B38B4"/>
    <w:rsid w:val="002B50DE"/>
    <w:rsid w:val="002D0EA7"/>
    <w:rsid w:val="002D1FCC"/>
    <w:rsid w:val="002D4A97"/>
    <w:rsid w:val="002F090D"/>
    <w:rsid w:val="002F3D22"/>
    <w:rsid w:val="002F4C25"/>
    <w:rsid w:val="002F5045"/>
    <w:rsid w:val="002F5F53"/>
    <w:rsid w:val="002F67AE"/>
    <w:rsid w:val="002F7B7B"/>
    <w:rsid w:val="0030163B"/>
    <w:rsid w:val="0030347E"/>
    <w:rsid w:val="0031001E"/>
    <w:rsid w:val="0031093E"/>
    <w:rsid w:val="00312C6F"/>
    <w:rsid w:val="00323F9D"/>
    <w:rsid w:val="003264B6"/>
    <w:rsid w:val="003427DD"/>
    <w:rsid w:val="0034553D"/>
    <w:rsid w:val="00357BC8"/>
    <w:rsid w:val="003705A9"/>
    <w:rsid w:val="003758C8"/>
    <w:rsid w:val="00381DEE"/>
    <w:rsid w:val="00390380"/>
    <w:rsid w:val="00390EF4"/>
    <w:rsid w:val="003A4E83"/>
    <w:rsid w:val="003A6FD0"/>
    <w:rsid w:val="003A76F6"/>
    <w:rsid w:val="003B1829"/>
    <w:rsid w:val="003B66C2"/>
    <w:rsid w:val="003C290E"/>
    <w:rsid w:val="003C3C63"/>
    <w:rsid w:val="003C4C7C"/>
    <w:rsid w:val="003C536F"/>
    <w:rsid w:val="003D1C8C"/>
    <w:rsid w:val="003D20C0"/>
    <w:rsid w:val="003D2BC0"/>
    <w:rsid w:val="003D3FC4"/>
    <w:rsid w:val="003D574D"/>
    <w:rsid w:val="003D6016"/>
    <w:rsid w:val="003D786E"/>
    <w:rsid w:val="003E0FCA"/>
    <w:rsid w:val="003E4EDC"/>
    <w:rsid w:val="003E602D"/>
    <w:rsid w:val="003E680F"/>
    <w:rsid w:val="00400677"/>
    <w:rsid w:val="004013AA"/>
    <w:rsid w:val="00407F52"/>
    <w:rsid w:val="00412892"/>
    <w:rsid w:val="004132C5"/>
    <w:rsid w:val="004229B9"/>
    <w:rsid w:val="0042460D"/>
    <w:rsid w:val="0042645D"/>
    <w:rsid w:val="004333DB"/>
    <w:rsid w:val="00440569"/>
    <w:rsid w:val="004450C1"/>
    <w:rsid w:val="004458DA"/>
    <w:rsid w:val="00445B5D"/>
    <w:rsid w:val="0045194E"/>
    <w:rsid w:val="00452003"/>
    <w:rsid w:val="00462A30"/>
    <w:rsid w:val="0046375B"/>
    <w:rsid w:val="00464B2C"/>
    <w:rsid w:val="004755C5"/>
    <w:rsid w:val="004808D2"/>
    <w:rsid w:val="004855AE"/>
    <w:rsid w:val="00485AB8"/>
    <w:rsid w:val="004A2AC0"/>
    <w:rsid w:val="004A3074"/>
    <w:rsid w:val="004B4664"/>
    <w:rsid w:val="004C717A"/>
    <w:rsid w:val="004D0661"/>
    <w:rsid w:val="004D07B1"/>
    <w:rsid w:val="004D1A8B"/>
    <w:rsid w:val="004D517E"/>
    <w:rsid w:val="004D696A"/>
    <w:rsid w:val="004E05CB"/>
    <w:rsid w:val="004E1BCD"/>
    <w:rsid w:val="00511509"/>
    <w:rsid w:val="00513126"/>
    <w:rsid w:val="005148DD"/>
    <w:rsid w:val="005235EC"/>
    <w:rsid w:val="00530C36"/>
    <w:rsid w:val="005352A0"/>
    <w:rsid w:val="00547000"/>
    <w:rsid w:val="00550CE1"/>
    <w:rsid w:val="00556722"/>
    <w:rsid w:val="0055721B"/>
    <w:rsid w:val="00560966"/>
    <w:rsid w:val="0056199E"/>
    <w:rsid w:val="00571A54"/>
    <w:rsid w:val="00575181"/>
    <w:rsid w:val="00582C26"/>
    <w:rsid w:val="00587192"/>
    <w:rsid w:val="00596398"/>
    <w:rsid w:val="005A6AE0"/>
    <w:rsid w:val="005B795D"/>
    <w:rsid w:val="005C5B74"/>
    <w:rsid w:val="005C7D10"/>
    <w:rsid w:val="005D27B0"/>
    <w:rsid w:val="005D2E47"/>
    <w:rsid w:val="005D40FA"/>
    <w:rsid w:val="005E476A"/>
    <w:rsid w:val="005E494E"/>
    <w:rsid w:val="005E56B8"/>
    <w:rsid w:val="005F1EFB"/>
    <w:rsid w:val="005F286C"/>
    <w:rsid w:val="00616F75"/>
    <w:rsid w:val="00617109"/>
    <w:rsid w:val="00617A04"/>
    <w:rsid w:val="00627F6D"/>
    <w:rsid w:val="00634C14"/>
    <w:rsid w:val="0064202B"/>
    <w:rsid w:val="00644F5F"/>
    <w:rsid w:val="0064651A"/>
    <w:rsid w:val="00651114"/>
    <w:rsid w:val="00651AB5"/>
    <w:rsid w:val="00655C04"/>
    <w:rsid w:val="00671EAF"/>
    <w:rsid w:val="0067365E"/>
    <w:rsid w:val="00687EC5"/>
    <w:rsid w:val="0069759C"/>
    <w:rsid w:val="006A1307"/>
    <w:rsid w:val="006A711C"/>
    <w:rsid w:val="006B341B"/>
    <w:rsid w:val="006C2182"/>
    <w:rsid w:val="006D3AE6"/>
    <w:rsid w:val="006E2B97"/>
    <w:rsid w:val="006E46CE"/>
    <w:rsid w:val="006F182B"/>
    <w:rsid w:val="006F40C2"/>
    <w:rsid w:val="006F782F"/>
    <w:rsid w:val="00700A6D"/>
    <w:rsid w:val="00701515"/>
    <w:rsid w:val="00707B2F"/>
    <w:rsid w:val="00710DED"/>
    <w:rsid w:val="00710FBC"/>
    <w:rsid w:val="0071214B"/>
    <w:rsid w:val="007171CC"/>
    <w:rsid w:val="00732B86"/>
    <w:rsid w:val="0074195D"/>
    <w:rsid w:val="00741D90"/>
    <w:rsid w:val="00752FFC"/>
    <w:rsid w:val="00756557"/>
    <w:rsid w:val="00765ACF"/>
    <w:rsid w:val="00780C6E"/>
    <w:rsid w:val="0078125F"/>
    <w:rsid w:val="00784DC3"/>
    <w:rsid w:val="00796682"/>
    <w:rsid w:val="007A03AE"/>
    <w:rsid w:val="007A2DB9"/>
    <w:rsid w:val="007A3253"/>
    <w:rsid w:val="007A6010"/>
    <w:rsid w:val="007A7E2F"/>
    <w:rsid w:val="007C0891"/>
    <w:rsid w:val="007C3319"/>
    <w:rsid w:val="007C4618"/>
    <w:rsid w:val="007D3190"/>
    <w:rsid w:val="007D6604"/>
    <w:rsid w:val="007D7385"/>
    <w:rsid w:val="007E57DD"/>
    <w:rsid w:val="007E70F7"/>
    <w:rsid w:val="007E74A2"/>
    <w:rsid w:val="007F52A0"/>
    <w:rsid w:val="00802AA7"/>
    <w:rsid w:val="00806F1B"/>
    <w:rsid w:val="0081102D"/>
    <w:rsid w:val="008226A9"/>
    <w:rsid w:val="008249E6"/>
    <w:rsid w:val="00826BFF"/>
    <w:rsid w:val="00826CBE"/>
    <w:rsid w:val="008277F0"/>
    <w:rsid w:val="008356EC"/>
    <w:rsid w:val="008408D9"/>
    <w:rsid w:val="00844973"/>
    <w:rsid w:val="00844CB5"/>
    <w:rsid w:val="0086290F"/>
    <w:rsid w:val="00862AE1"/>
    <w:rsid w:val="00865AEE"/>
    <w:rsid w:val="008675CE"/>
    <w:rsid w:val="00871F7D"/>
    <w:rsid w:val="00872948"/>
    <w:rsid w:val="00894E9E"/>
    <w:rsid w:val="00895490"/>
    <w:rsid w:val="008B0B8B"/>
    <w:rsid w:val="008B1768"/>
    <w:rsid w:val="008B40C6"/>
    <w:rsid w:val="008B421F"/>
    <w:rsid w:val="008B47B5"/>
    <w:rsid w:val="008B52D4"/>
    <w:rsid w:val="008D7D4A"/>
    <w:rsid w:val="008E2D1A"/>
    <w:rsid w:val="008E4E52"/>
    <w:rsid w:val="009009F8"/>
    <w:rsid w:val="00905668"/>
    <w:rsid w:val="00907DFF"/>
    <w:rsid w:val="0091100C"/>
    <w:rsid w:val="0092072A"/>
    <w:rsid w:val="0093258D"/>
    <w:rsid w:val="00932D0C"/>
    <w:rsid w:val="00932E8A"/>
    <w:rsid w:val="00936409"/>
    <w:rsid w:val="00943640"/>
    <w:rsid w:val="009641B3"/>
    <w:rsid w:val="00965019"/>
    <w:rsid w:val="00967F4D"/>
    <w:rsid w:val="00971444"/>
    <w:rsid w:val="009745A3"/>
    <w:rsid w:val="00974F56"/>
    <w:rsid w:val="009873DC"/>
    <w:rsid w:val="009A35EA"/>
    <w:rsid w:val="009C485A"/>
    <w:rsid w:val="009C7983"/>
    <w:rsid w:val="009E7C41"/>
    <w:rsid w:val="009F12D1"/>
    <w:rsid w:val="00A001DE"/>
    <w:rsid w:val="00A01A4E"/>
    <w:rsid w:val="00A04D72"/>
    <w:rsid w:val="00A1121F"/>
    <w:rsid w:val="00A17887"/>
    <w:rsid w:val="00A24955"/>
    <w:rsid w:val="00A24F62"/>
    <w:rsid w:val="00A32189"/>
    <w:rsid w:val="00A414E3"/>
    <w:rsid w:val="00A421B5"/>
    <w:rsid w:val="00A47746"/>
    <w:rsid w:val="00A51F69"/>
    <w:rsid w:val="00A5431B"/>
    <w:rsid w:val="00A63EF5"/>
    <w:rsid w:val="00A656CF"/>
    <w:rsid w:val="00A66414"/>
    <w:rsid w:val="00A67087"/>
    <w:rsid w:val="00A67E0F"/>
    <w:rsid w:val="00A717B8"/>
    <w:rsid w:val="00A72868"/>
    <w:rsid w:val="00A76E65"/>
    <w:rsid w:val="00A8582B"/>
    <w:rsid w:val="00A86810"/>
    <w:rsid w:val="00A97C58"/>
    <w:rsid w:val="00AB0004"/>
    <w:rsid w:val="00AB520A"/>
    <w:rsid w:val="00AC25CF"/>
    <w:rsid w:val="00AC2D00"/>
    <w:rsid w:val="00AC6CD6"/>
    <w:rsid w:val="00AD426E"/>
    <w:rsid w:val="00AD68E0"/>
    <w:rsid w:val="00AD7940"/>
    <w:rsid w:val="00AF2FDC"/>
    <w:rsid w:val="00B00B4D"/>
    <w:rsid w:val="00B01AF6"/>
    <w:rsid w:val="00B0448A"/>
    <w:rsid w:val="00B1782E"/>
    <w:rsid w:val="00B25521"/>
    <w:rsid w:val="00B40855"/>
    <w:rsid w:val="00B43837"/>
    <w:rsid w:val="00B56C61"/>
    <w:rsid w:val="00B6454D"/>
    <w:rsid w:val="00B76DCF"/>
    <w:rsid w:val="00B905D2"/>
    <w:rsid w:val="00B90953"/>
    <w:rsid w:val="00B921C8"/>
    <w:rsid w:val="00B963F2"/>
    <w:rsid w:val="00BA20C6"/>
    <w:rsid w:val="00BA391C"/>
    <w:rsid w:val="00BA50D9"/>
    <w:rsid w:val="00BA5A82"/>
    <w:rsid w:val="00BB0782"/>
    <w:rsid w:val="00BB47E9"/>
    <w:rsid w:val="00BB6ED1"/>
    <w:rsid w:val="00BC5177"/>
    <w:rsid w:val="00BD7046"/>
    <w:rsid w:val="00BE1759"/>
    <w:rsid w:val="00BE2EA5"/>
    <w:rsid w:val="00BF3A0F"/>
    <w:rsid w:val="00BF7324"/>
    <w:rsid w:val="00C014E5"/>
    <w:rsid w:val="00C02491"/>
    <w:rsid w:val="00C02E48"/>
    <w:rsid w:val="00C07EB3"/>
    <w:rsid w:val="00C16EC0"/>
    <w:rsid w:val="00C20954"/>
    <w:rsid w:val="00C272D7"/>
    <w:rsid w:val="00C41A6C"/>
    <w:rsid w:val="00C4646F"/>
    <w:rsid w:val="00C525AF"/>
    <w:rsid w:val="00C536AE"/>
    <w:rsid w:val="00C53FC2"/>
    <w:rsid w:val="00C716B2"/>
    <w:rsid w:val="00C73CD0"/>
    <w:rsid w:val="00C931A8"/>
    <w:rsid w:val="00C96297"/>
    <w:rsid w:val="00C9649C"/>
    <w:rsid w:val="00C974D5"/>
    <w:rsid w:val="00C979D8"/>
    <w:rsid w:val="00C97BAD"/>
    <w:rsid w:val="00C97D84"/>
    <w:rsid w:val="00CB31F6"/>
    <w:rsid w:val="00CB5C99"/>
    <w:rsid w:val="00CC0BE0"/>
    <w:rsid w:val="00CC6C08"/>
    <w:rsid w:val="00CC7969"/>
    <w:rsid w:val="00CD30A5"/>
    <w:rsid w:val="00CD3EED"/>
    <w:rsid w:val="00CD4E52"/>
    <w:rsid w:val="00CD7496"/>
    <w:rsid w:val="00CE6C34"/>
    <w:rsid w:val="00CF1767"/>
    <w:rsid w:val="00D10D77"/>
    <w:rsid w:val="00D11986"/>
    <w:rsid w:val="00D1237B"/>
    <w:rsid w:val="00D135C5"/>
    <w:rsid w:val="00D138AD"/>
    <w:rsid w:val="00D246C5"/>
    <w:rsid w:val="00D31F6D"/>
    <w:rsid w:val="00D33C56"/>
    <w:rsid w:val="00D46071"/>
    <w:rsid w:val="00D51F06"/>
    <w:rsid w:val="00D5299B"/>
    <w:rsid w:val="00D56D4A"/>
    <w:rsid w:val="00D576F5"/>
    <w:rsid w:val="00D61B0E"/>
    <w:rsid w:val="00D6456C"/>
    <w:rsid w:val="00D7292B"/>
    <w:rsid w:val="00D73E6E"/>
    <w:rsid w:val="00D75E2C"/>
    <w:rsid w:val="00D8108C"/>
    <w:rsid w:val="00D833EC"/>
    <w:rsid w:val="00D86C8C"/>
    <w:rsid w:val="00D93590"/>
    <w:rsid w:val="00D96312"/>
    <w:rsid w:val="00DA0649"/>
    <w:rsid w:val="00DA1E5E"/>
    <w:rsid w:val="00DC00D4"/>
    <w:rsid w:val="00DC3456"/>
    <w:rsid w:val="00DC4AF6"/>
    <w:rsid w:val="00DC5BCA"/>
    <w:rsid w:val="00DD255B"/>
    <w:rsid w:val="00DD2E47"/>
    <w:rsid w:val="00DE22DF"/>
    <w:rsid w:val="00DE39AA"/>
    <w:rsid w:val="00DE3A80"/>
    <w:rsid w:val="00DE7580"/>
    <w:rsid w:val="00DF3EAD"/>
    <w:rsid w:val="00DF6BE8"/>
    <w:rsid w:val="00E00127"/>
    <w:rsid w:val="00E03C4E"/>
    <w:rsid w:val="00E14E33"/>
    <w:rsid w:val="00E17E37"/>
    <w:rsid w:val="00E20E8D"/>
    <w:rsid w:val="00E2393D"/>
    <w:rsid w:val="00E23C1A"/>
    <w:rsid w:val="00E265F8"/>
    <w:rsid w:val="00E34779"/>
    <w:rsid w:val="00E61244"/>
    <w:rsid w:val="00E616F7"/>
    <w:rsid w:val="00E6563D"/>
    <w:rsid w:val="00E66B8B"/>
    <w:rsid w:val="00E80BC8"/>
    <w:rsid w:val="00E85B13"/>
    <w:rsid w:val="00E90E2C"/>
    <w:rsid w:val="00E93F1F"/>
    <w:rsid w:val="00E9518D"/>
    <w:rsid w:val="00EA101C"/>
    <w:rsid w:val="00EA2FEB"/>
    <w:rsid w:val="00EB0A44"/>
    <w:rsid w:val="00EC0197"/>
    <w:rsid w:val="00EC2F51"/>
    <w:rsid w:val="00EC6004"/>
    <w:rsid w:val="00EC6CD5"/>
    <w:rsid w:val="00ED5753"/>
    <w:rsid w:val="00ED66DB"/>
    <w:rsid w:val="00EF0CDF"/>
    <w:rsid w:val="00EF5A71"/>
    <w:rsid w:val="00EF6929"/>
    <w:rsid w:val="00EF6EAD"/>
    <w:rsid w:val="00F0512A"/>
    <w:rsid w:val="00F33BB9"/>
    <w:rsid w:val="00F44D0C"/>
    <w:rsid w:val="00F54243"/>
    <w:rsid w:val="00F56C4C"/>
    <w:rsid w:val="00F57EFB"/>
    <w:rsid w:val="00F62E6E"/>
    <w:rsid w:val="00F74AE2"/>
    <w:rsid w:val="00F776F7"/>
    <w:rsid w:val="00F820B1"/>
    <w:rsid w:val="00F82355"/>
    <w:rsid w:val="00F86A17"/>
    <w:rsid w:val="00F91AD4"/>
    <w:rsid w:val="00F9260D"/>
    <w:rsid w:val="00F93BA4"/>
    <w:rsid w:val="00F97B26"/>
    <w:rsid w:val="00FA15B1"/>
    <w:rsid w:val="00FA4729"/>
    <w:rsid w:val="00FB576C"/>
    <w:rsid w:val="00FB6AF9"/>
    <w:rsid w:val="00FC04AF"/>
    <w:rsid w:val="00FC5072"/>
    <w:rsid w:val="00FE2006"/>
    <w:rsid w:val="00FF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EA42"/>
  <w15:docId w15:val="{837250F5-BB06-4ABF-B462-896D044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DD"/>
    <w:rPr>
      <w:rFonts w:ascii="Tahoma" w:hAnsi="Tahoma" w:cs="Tahoma"/>
      <w:sz w:val="16"/>
      <w:szCs w:val="16"/>
    </w:rPr>
  </w:style>
  <w:style w:type="character" w:styleId="Hyperlink">
    <w:name w:val="Hyperlink"/>
    <w:basedOn w:val="DefaultParagraphFont"/>
    <w:uiPriority w:val="99"/>
    <w:unhideWhenUsed/>
    <w:rsid w:val="00FB576C"/>
    <w:rPr>
      <w:color w:val="0563C1" w:themeColor="hyperlink"/>
      <w:u w:val="single"/>
    </w:rPr>
  </w:style>
  <w:style w:type="character" w:styleId="CommentReference">
    <w:name w:val="annotation reference"/>
    <w:basedOn w:val="DefaultParagraphFont"/>
    <w:uiPriority w:val="99"/>
    <w:semiHidden/>
    <w:unhideWhenUsed/>
    <w:rsid w:val="002F5F53"/>
    <w:rPr>
      <w:sz w:val="16"/>
      <w:szCs w:val="16"/>
    </w:rPr>
  </w:style>
  <w:style w:type="paragraph" w:styleId="CommentText">
    <w:name w:val="annotation text"/>
    <w:basedOn w:val="Normal"/>
    <w:link w:val="CommentTextChar"/>
    <w:uiPriority w:val="99"/>
    <w:semiHidden/>
    <w:unhideWhenUsed/>
    <w:rsid w:val="002F5F53"/>
    <w:pPr>
      <w:spacing w:line="240" w:lineRule="auto"/>
    </w:pPr>
    <w:rPr>
      <w:sz w:val="20"/>
      <w:szCs w:val="20"/>
    </w:rPr>
  </w:style>
  <w:style w:type="character" w:customStyle="1" w:styleId="CommentTextChar">
    <w:name w:val="Comment Text Char"/>
    <w:basedOn w:val="DefaultParagraphFont"/>
    <w:link w:val="CommentText"/>
    <w:uiPriority w:val="99"/>
    <w:semiHidden/>
    <w:rsid w:val="002F5F53"/>
    <w:rPr>
      <w:sz w:val="20"/>
      <w:szCs w:val="20"/>
    </w:rPr>
  </w:style>
  <w:style w:type="paragraph" w:styleId="CommentSubject">
    <w:name w:val="annotation subject"/>
    <w:basedOn w:val="CommentText"/>
    <w:next w:val="CommentText"/>
    <w:link w:val="CommentSubjectChar"/>
    <w:uiPriority w:val="99"/>
    <w:semiHidden/>
    <w:unhideWhenUsed/>
    <w:rsid w:val="002F5F53"/>
    <w:rPr>
      <w:b/>
      <w:bCs/>
    </w:rPr>
  </w:style>
  <w:style w:type="character" w:customStyle="1" w:styleId="CommentSubjectChar">
    <w:name w:val="Comment Subject Char"/>
    <w:basedOn w:val="CommentTextChar"/>
    <w:link w:val="CommentSubject"/>
    <w:uiPriority w:val="99"/>
    <w:semiHidden/>
    <w:rsid w:val="002F5F53"/>
    <w:rPr>
      <w:b/>
      <w:bCs/>
      <w:sz w:val="20"/>
      <w:szCs w:val="20"/>
    </w:rPr>
  </w:style>
  <w:style w:type="character" w:styleId="FollowedHyperlink">
    <w:name w:val="FollowedHyperlink"/>
    <w:basedOn w:val="DefaultParagraphFont"/>
    <w:uiPriority w:val="99"/>
    <w:semiHidden/>
    <w:unhideWhenUsed/>
    <w:rsid w:val="00270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7229">
      <w:bodyDiv w:val="1"/>
      <w:marLeft w:val="0"/>
      <w:marRight w:val="0"/>
      <w:marTop w:val="0"/>
      <w:marBottom w:val="0"/>
      <w:divBdr>
        <w:top w:val="none" w:sz="0" w:space="0" w:color="auto"/>
        <w:left w:val="none" w:sz="0" w:space="0" w:color="auto"/>
        <w:bottom w:val="none" w:sz="0" w:space="0" w:color="auto"/>
        <w:right w:val="none" w:sz="0" w:space="0" w:color="auto"/>
      </w:divBdr>
    </w:div>
    <w:div w:id="5043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resolving-commercial-rent-arrears-accumulated-due-to-covid-19/supporting-businesses-with-commercial-rent-debts-policy-stat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272A-DD00-468E-9A21-4569D29E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nixon</dc:creator>
  <cp:keywords/>
  <dc:description/>
  <cp:lastModifiedBy>Matthew Piper</cp:lastModifiedBy>
  <cp:revision>2</cp:revision>
  <cp:lastPrinted>2020-02-06T09:54:00Z</cp:lastPrinted>
  <dcterms:created xsi:type="dcterms:W3CDTF">2021-10-04T14:52:00Z</dcterms:created>
  <dcterms:modified xsi:type="dcterms:W3CDTF">2021-10-04T14:52:00Z</dcterms:modified>
</cp:coreProperties>
</file>